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385BC" w14:textId="77777777" w:rsidR="009E43AD" w:rsidRPr="009E43AD" w:rsidRDefault="009E43AD" w:rsidP="009E43AD">
      <w:pPr>
        <w:spacing w:after="0" w:line="240" w:lineRule="auto"/>
        <w:jc w:val="center"/>
        <w:outlineLvl w:val="0"/>
        <w:rPr>
          <w:rFonts w:eastAsia="Times New Roman" w:cs="Calibri"/>
          <w:b/>
          <w:bCs/>
          <w:sz w:val="32"/>
          <w:szCs w:val="28"/>
        </w:rPr>
      </w:pPr>
      <w:bookmarkStart w:id="0" w:name="_GoBack"/>
      <w:bookmarkEnd w:id="0"/>
      <w:r w:rsidRPr="009E43AD">
        <w:rPr>
          <w:rFonts w:eastAsia="Times New Roman" w:cs="Calibri"/>
          <w:b/>
          <w:bCs/>
          <w:sz w:val="32"/>
          <w:szCs w:val="28"/>
        </w:rPr>
        <w:t>FACT SHEET</w:t>
      </w:r>
    </w:p>
    <w:p w14:paraId="74E385BD" w14:textId="77777777" w:rsidR="009E43AD" w:rsidRDefault="009E43AD" w:rsidP="009E43AD">
      <w:pPr>
        <w:spacing w:after="0"/>
        <w:jc w:val="both"/>
        <w:rPr>
          <w:b/>
          <w:u w:val="single"/>
        </w:rPr>
      </w:pPr>
    </w:p>
    <w:p w14:paraId="74E385BE" w14:textId="77777777" w:rsidR="009E43AD" w:rsidRDefault="009E43AD" w:rsidP="009E43AD">
      <w:pPr>
        <w:spacing w:after="0"/>
        <w:jc w:val="both"/>
      </w:pPr>
      <w:r w:rsidRPr="009E43AD">
        <w:rPr>
          <w:b/>
          <w:sz w:val="24"/>
          <w:u w:val="single"/>
        </w:rPr>
        <w:t>Background</w:t>
      </w:r>
      <w:r w:rsidRPr="009E43AD">
        <w:rPr>
          <w:b/>
        </w:rPr>
        <w:t>:</w:t>
      </w:r>
      <w:r>
        <w:t xml:space="preserve"> In 2010 the global health community recognized</w:t>
      </w:r>
      <w:r w:rsidRPr="00703502">
        <w:t xml:space="preserve"> </w:t>
      </w:r>
      <w:r>
        <w:t>the need for widespread commitment to immunization</w:t>
      </w:r>
      <w:r w:rsidRPr="00703502">
        <w:t xml:space="preserve"> </w:t>
      </w:r>
      <w:r>
        <w:t>and called</w:t>
      </w:r>
      <w:r w:rsidRPr="00703502">
        <w:t xml:space="preserve"> for a Decade of Vaccines</w:t>
      </w:r>
      <w:r>
        <w:t xml:space="preserve"> (</w:t>
      </w:r>
      <w:proofErr w:type="spellStart"/>
      <w:r>
        <w:t>DoV</w:t>
      </w:r>
      <w:proofErr w:type="spellEnd"/>
      <w:r>
        <w:t xml:space="preserve">). </w:t>
      </w:r>
    </w:p>
    <w:p w14:paraId="74E385BF" w14:textId="77777777" w:rsidR="009E43AD" w:rsidRDefault="009E43AD" w:rsidP="009E43AD">
      <w:pPr>
        <w:spacing w:after="0"/>
        <w:jc w:val="both"/>
        <w:rPr>
          <w:b/>
          <w:u w:val="single"/>
        </w:rPr>
      </w:pPr>
    </w:p>
    <w:p w14:paraId="74E385C0" w14:textId="77777777" w:rsidR="009E43AD" w:rsidRDefault="009E43AD" w:rsidP="009E43AD">
      <w:pPr>
        <w:spacing w:after="0"/>
        <w:jc w:val="both"/>
        <w:rPr>
          <w:rFonts w:ascii="Calibri" w:hAnsi="Calibri" w:cs="Courier"/>
        </w:rPr>
      </w:pPr>
      <w:r w:rsidRPr="009E43AD">
        <w:rPr>
          <w:b/>
          <w:sz w:val="24"/>
          <w:u w:val="single"/>
        </w:rPr>
        <w:t>Vision and Mission</w:t>
      </w:r>
      <w:r w:rsidRPr="009E43AD">
        <w:rPr>
          <w:b/>
        </w:rPr>
        <w:t>:</w:t>
      </w:r>
      <w:r>
        <w:t xml:space="preserve"> The vision of the </w:t>
      </w:r>
      <w:proofErr w:type="spellStart"/>
      <w:r>
        <w:t>DoV</w:t>
      </w:r>
      <w:proofErr w:type="spellEnd"/>
      <w:r>
        <w:t xml:space="preserve"> is </w:t>
      </w:r>
      <w:r w:rsidRPr="00516F2C">
        <w:t>to extend, by 2020 and beyond, the full benefits of immunization to all people, regardless of where they are born, who they are or where they live.</w:t>
      </w:r>
      <w:r>
        <w:t xml:space="preserve"> </w:t>
      </w:r>
    </w:p>
    <w:p w14:paraId="74E385C1" w14:textId="77777777" w:rsidR="009E43AD" w:rsidRDefault="009E43AD" w:rsidP="009E43AD">
      <w:pPr>
        <w:spacing w:after="0"/>
        <w:jc w:val="both"/>
        <w:rPr>
          <w:rFonts w:ascii="Calibri" w:hAnsi="Calibri" w:cs="Courier"/>
          <w:b/>
          <w:u w:val="single"/>
        </w:rPr>
      </w:pPr>
    </w:p>
    <w:p w14:paraId="74E385C2" w14:textId="77777777" w:rsidR="009E43AD" w:rsidRDefault="009E43AD" w:rsidP="009E43AD">
      <w:pPr>
        <w:spacing w:after="0"/>
        <w:jc w:val="both"/>
        <w:rPr>
          <w:rFonts w:ascii="Calibri" w:hAnsi="Calibri" w:cs="Courier"/>
        </w:rPr>
      </w:pPr>
      <w:r w:rsidRPr="009E43AD">
        <w:rPr>
          <w:rFonts w:ascii="Calibri" w:hAnsi="Calibri" w:cs="Courier"/>
          <w:b/>
          <w:sz w:val="24"/>
          <w:u w:val="single"/>
        </w:rPr>
        <w:t xml:space="preserve">Global </w:t>
      </w:r>
      <w:r w:rsidR="00A81532">
        <w:rPr>
          <w:rFonts w:ascii="Calibri" w:hAnsi="Calibri" w:cs="Courier"/>
          <w:b/>
          <w:sz w:val="24"/>
          <w:u w:val="single"/>
        </w:rPr>
        <w:t xml:space="preserve">Vaccine Action </w:t>
      </w:r>
      <w:r w:rsidRPr="009E43AD">
        <w:rPr>
          <w:rFonts w:ascii="Calibri" w:hAnsi="Calibri" w:cs="Courier"/>
          <w:b/>
          <w:sz w:val="24"/>
          <w:u w:val="single"/>
        </w:rPr>
        <w:t>Plan</w:t>
      </w:r>
      <w:r w:rsidRPr="009E43AD">
        <w:rPr>
          <w:rFonts w:ascii="Calibri" w:hAnsi="Calibri" w:cs="Courier"/>
          <w:b/>
        </w:rPr>
        <w:t>:</w:t>
      </w:r>
      <w:r>
        <w:rPr>
          <w:rFonts w:ascii="Calibri" w:hAnsi="Calibri" w:cs="Courier"/>
        </w:rPr>
        <w:t xml:space="preserve"> </w:t>
      </w:r>
      <w:r>
        <w:t xml:space="preserve">To make this vision a reality, </w:t>
      </w:r>
      <w:r w:rsidRPr="00707386">
        <w:rPr>
          <w:rFonts w:ascii="Calibri" w:hAnsi="Calibri" w:cs="Courier"/>
        </w:rPr>
        <w:t xml:space="preserve">more than </w:t>
      </w:r>
      <w:r>
        <w:rPr>
          <w:rFonts w:ascii="Calibri" w:hAnsi="Calibri" w:cs="Courier"/>
        </w:rPr>
        <w:t xml:space="preserve">100 experts participated in the development of </w:t>
      </w:r>
      <w:r w:rsidR="006B100E">
        <w:rPr>
          <w:rFonts w:ascii="Calibri" w:hAnsi="Calibri" w:cs="Courier"/>
        </w:rPr>
        <w:t>a road</w:t>
      </w:r>
      <w:r w:rsidRPr="0081378F">
        <w:rPr>
          <w:rFonts w:ascii="Calibri" w:hAnsi="Calibri" w:cs="Courier"/>
        </w:rPr>
        <w:t>map, called the Global Vaccine Action Plan (GVAP)</w:t>
      </w:r>
      <w:r>
        <w:rPr>
          <w:rFonts w:ascii="Calibri" w:hAnsi="Calibri" w:cs="Courier"/>
        </w:rPr>
        <w:t>. The resulting plan was refined further during a global consultation process</w:t>
      </w:r>
      <w:r>
        <w:t xml:space="preserve"> involving input from </w:t>
      </w:r>
      <w:r w:rsidRPr="005671F4">
        <w:rPr>
          <w:rFonts w:ascii="Calibri" w:hAnsi="Calibri" w:cs="Courier"/>
          <w:b/>
        </w:rPr>
        <w:t xml:space="preserve">more than 1,100 individuals </w:t>
      </w:r>
      <w:r>
        <w:rPr>
          <w:rFonts w:ascii="Calibri" w:hAnsi="Calibri" w:cs="Courier"/>
          <w:b/>
        </w:rPr>
        <w:t>in</w:t>
      </w:r>
      <w:r w:rsidRPr="005671F4">
        <w:rPr>
          <w:rFonts w:ascii="Calibri" w:hAnsi="Calibri" w:cs="Courier"/>
          <w:b/>
        </w:rPr>
        <w:t xml:space="preserve"> 140 countries </w:t>
      </w:r>
      <w:r w:rsidRPr="000E4D62">
        <w:rPr>
          <w:rFonts w:ascii="Calibri" w:hAnsi="Calibri" w:cs="Courier"/>
        </w:rPr>
        <w:t xml:space="preserve">(representing 290 distinct organizations). </w:t>
      </w:r>
    </w:p>
    <w:p w14:paraId="74E385C3" w14:textId="77777777" w:rsidR="009E43AD" w:rsidRDefault="009E43AD" w:rsidP="009E43AD">
      <w:pPr>
        <w:spacing w:after="0"/>
        <w:jc w:val="both"/>
        <w:rPr>
          <w:rFonts w:ascii="Calibri" w:hAnsi="Calibri" w:cs="Courier"/>
        </w:rPr>
      </w:pPr>
    </w:p>
    <w:p w14:paraId="74E385C4" w14:textId="77777777" w:rsidR="009E43AD" w:rsidRPr="00DE5F70" w:rsidRDefault="009E43AD" w:rsidP="009E43AD">
      <w:pPr>
        <w:spacing w:after="0"/>
        <w:jc w:val="both"/>
        <w:rPr>
          <w:rFonts w:ascii="Calibri" w:hAnsi="Calibri" w:cs="Courier"/>
        </w:rPr>
      </w:pPr>
      <w:r w:rsidRPr="009E43AD">
        <w:rPr>
          <w:rFonts w:cs="Calibri"/>
          <w:b/>
          <w:bCs/>
          <w:sz w:val="24"/>
          <w:u w:val="single"/>
          <w:lang w:val="en-GB" w:eastAsia="en-GB"/>
        </w:rPr>
        <w:t>Approval</w:t>
      </w:r>
      <w:r w:rsidRPr="009E43AD">
        <w:rPr>
          <w:rFonts w:cs="Calibri"/>
          <w:b/>
          <w:bCs/>
          <w:lang w:val="en-GB" w:eastAsia="en-GB"/>
        </w:rPr>
        <w:t>:</w:t>
      </w:r>
      <w:r>
        <w:rPr>
          <w:rFonts w:cs="Calibri"/>
          <w:bCs/>
          <w:lang w:val="en-GB" w:eastAsia="en-GB"/>
        </w:rPr>
        <w:t xml:space="preserve"> </w:t>
      </w:r>
      <w:r w:rsidRPr="007315D9">
        <w:rPr>
          <w:rFonts w:cs="Calibri"/>
          <w:bCs/>
          <w:lang w:val="en-GB" w:eastAsia="en-GB"/>
        </w:rPr>
        <w:t>On 25 May 2</w:t>
      </w:r>
      <w:r>
        <w:rPr>
          <w:rFonts w:cs="Calibri"/>
          <w:bCs/>
          <w:lang w:val="en-GB" w:eastAsia="en-GB"/>
        </w:rPr>
        <w:t>0</w:t>
      </w:r>
      <w:r w:rsidRPr="007315D9">
        <w:rPr>
          <w:rFonts w:cs="Calibri"/>
          <w:bCs/>
          <w:lang w:val="en-GB" w:eastAsia="en-GB"/>
        </w:rPr>
        <w:t>12, the World Health Assembly</w:t>
      </w:r>
      <w:r>
        <w:rPr>
          <w:rFonts w:cs="Calibri"/>
          <w:bCs/>
          <w:lang w:val="en-GB" w:eastAsia="en-GB"/>
        </w:rPr>
        <w:t xml:space="preserve">, composed of the 194 Member States of the World Health Organization (WHO), </w:t>
      </w:r>
      <w:r w:rsidRPr="007315D9">
        <w:rPr>
          <w:rFonts w:cs="Calibri"/>
          <w:bCs/>
          <w:lang w:val="en-GB" w:eastAsia="en-GB"/>
        </w:rPr>
        <w:t>approved</w:t>
      </w:r>
      <w:r>
        <w:rPr>
          <w:rFonts w:cs="Calibri"/>
          <w:bCs/>
          <w:lang w:val="en-GB" w:eastAsia="en-GB"/>
        </w:rPr>
        <w:t xml:space="preserve"> </w:t>
      </w:r>
      <w:r w:rsidRPr="007315D9">
        <w:rPr>
          <w:rFonts w:cs="Calibri"/>
          <w:bCs/>
          <w:lang w:val="en-GB" w:eastAsia="en-GB"/>
        </w:rPr>
        <w:t xml:space="preserve">the </w:t>
      </w:r>
      <w:r w:rsidR="00A81532">
        <w:rPr>
          <w:rFonts w:cs="Calibri"/>
          <w:bCs/>
          <w:lang w:val="en-GB" w:eastAsia="en-GB"/>
        </w:rPr>
        <w:t>GVAP</w:t>
      </w:r>
      <w:r w:rsidRPr="007315D9">
        <w:rPr>
          <w:rFonts w:cs="Calibri"/>
          <w:bCs/>
          <w:lang w:val="en-GB" w:eastAsia="en-GB"/>
        </w:rPr>
        <w:t xml:space="preserve"> and its accompanying</w:t>
      </w:r>
      <w:r>
        <w:rPr>
          <w:rFonts w:cs="Calibri"/>
          <w:bCs/>
          <w:lang w:val="en-GB" w:eastAsia="en-GB"/>
        </w:rPr>
        <w:t xml:space="preserve"> resolution</w:t>
      </w:r>
      <w:r w:rsidRPr="007315D9">
        <w:rPr>
          <w:rFonts w:cs="Calibri"/>
          <w:bCs/>
          <w:lang w:val="en-GB" w:eastAsia="en-GB"/>
        </w:rPr>
        <w:t>.</w:t>
      </w:r>
      <w:r>
        <w:rPr>
          <w:rFonts w:cs="Calibri"/>
          <w:bCs/>
          <w:lang w:val="en-GB" w:eastAsia="en-GB"/>
        </w:rPr>
        <w:t xml:space="preserve"> (See </w:t>
      </w:r>
      <w:hyperlink r:id="rId11" w:history="1">
        <w:r w:rsidR="006B100E" w:rsidRPr="00D60595">
          <w:rPr>
            <w:rStyle w:val="Hyperlink"/>
          </w:rPr>
          <w:t>http://apps.who.int/gb/ebwha/pdf_files/WHA65/A65_R17-en.pdf</w:t>
        </w:r>
      </w:hyperlink>
      <w:r w:rsidR="006B100E">
        <w:t xml:space="preserve"> </w:t>
      </w:r>
      <w:r>
        <w:rPr>
          <w:rFonts w:cs="Calibri"/>
          <w:bCs/>
          <w:lang w:val="en-GB" w:eastAsia="en-GB"/>
        </w:rPr>
        <w:t xml:space="preserve">for </w:t>
      </w:r>
      <w:r w:rsidR="006B100E">
        <w:rPr>
          <w:rFonts w:cs="Calibri"/>
          <w:bCs/>
          <w:lang w:val="en-GB" w:eastAsia="en-GB"/>
        </w:rPr>
        <w:t>details).</w:t>
      </w:r>
      <w:r w:rsidRPr="007315D9">
        <w:rPr>
          <w:rFonts w:cs="Calibri"/>
          <w:bCs/>
          <w:lang w:val="en-GB" w:eastAsia="en-GB"/>
        </w:rPr>
        <w:t xml:space="preserve"> </w:t>
      </w:r>
      <w:r w:rsidR="00A81532">
        <w:rPr>
          <w:rFonts w:cs="Calibri"/>
          <w:bCs/>
          <w:lang w:val="en-GB" w:eastAsia="en-GB"/>
        </w:rPr>
        <w:t xml:space="preserve">All </w:t>
      </w:r>
      <w:r>
        <w:rPr>
          <w:rFonts w:cs="Calibri"/>
          <w:bCs/>
          <w:lang w:val="en-GB" w:eastAsia="en-GB"/>
        </w:rPr>
        <w:t xml:space="preserve">countries </w:t>
      </w:r>
      <w:r w:rsidRPr="00B77403">
        <w:rPr>
          <w:rFonts w:cs="Calibri"/>
          <w:bCs/>
          <w:lang w:val="en-GB" w:eastAsia="en-GB"/>
        </w:rPr>
        <w:t xml:space="preserve"> committed to </w:t>
      </w:r>
      <w:r w:rsidRPr="00B77403">
        <w:rPr>
          <w:lang w:val="en-GB"/>
        </w:rPr>
        <w:t xml:space="preserve">apply the </w:t>
      </w:r>
      <w:proofErr w:type="spellStart"/>
      <w:r w:rsidR="00A81532">
        <w:rPr>
          <w:lang w:val="en-GB"/>
        </w:rPr>
        <w:t>DoV’s</w:t>
      </w:r>
      <w:proofErr w:type="spellEnd"/>
      <w:r w:rsidR="00A81532" w:rsidRPr="00B77403">
        <w:rPr>
          <w:lang w:val="en-GB"/>
        </w:rPr>
        <w:t xml:space="preserve"> </w:t>
      </w:r>
      <w:r w:rsidRPr="00B77403">
        <w:rPr>
          <w:lang w:val="en-GB"/>
        </w:rPr>
        <w:t xml:space="preserve">vision and </w:t>
      </w:r>
      <w:r w:rsidR="006B100E">
        <w:rPr>
          <w:lang w:val="en-GB"/>
        </w:rPr>
        <w:t xml:space="preserve">the </w:t>
      </w:r>
      <w:r w:rsidR="00A81532">
        <w:rPr>
          <w:lang w:val="en-GB"/>
        </w:rPr>
        <w:t>GVAP’s goals and strategic objectives</w:t>
      </w:r>
      <w:r w:rsidR="00A81532" w:rsidRPr="00B77403">
        <w:rPr>
          <w:lang w:val="en-GB"/>
        </w:rPr>
        <w:t xml:space="preserve"> </w:t>
      </w:r>
      <w:r w:rsidRPr="00B77403">
        <w:rPr>
          <w:lang w:val="en-GB"/>
        </w:rPr>
        <w:t xml:space="preserve">to develop the vaccines and immunization components of their national health strategies and plans, to allocate adequate human and financial resources to achieve </w:t>
      </w:r>
      <w:r w:rsidR="006B100E">
        <w:rPr>
          <w:lang w:val="en-GB"/>
        </w:rPr>
        <w:t>the immunization goals</w:t>
      </w:r>
      <w:r w:rsidRPr="00B77403">
        <w:rPr>
          <w:lang w:val="en-GB"/>
        </w:rPr>
        <w:t xml:space="preserve"> and to report back year</w:t>
      </w:r>
      <w:r>
        <w:rPr>
          <w:lang w:val="en-GB"/>
        </w:rPr>
        <w:t xml:space="preserve">ly </w:t>
      </w:r>
      <w:r w:rsidRPr="00B77403">
        <w:rPr>
          <w:lang w:val="en-GB"/>
        </w:rPr>
        <w:t>through the WHO Regional Committees and the World Health Assembly on progress made.</w:t>
      </w:r>
    </w:p>
    <w:p w14:paraId="74E385C5" w14:textId="77777777" w:rsidR="009E43AD" w:rsidRDefault="009E43AD" w:rsidP="009E43AD">
      <w:pPr>
        <w:spacing w:after="0"/>
        <w:jc w:val="both"/>
        <w:rPr>
          <w:b/>
          <w:u w:val="single"/>
        </w:rPr>
      </w:pPr>
    </w:p>
    <w:p w14:paraId="74E385C6" w14:textId="77777777" w:rsidR="009E43AD" w:rsidRDefault="009E43AD" w:rsidP="009E43AD">
      <w:pPr>
        <w:spacing w:after="0"/>
        <w:jc w:val="both"/>
      </w:pPr>
      <w:r w:rsidRPr="009E43AD">
        <w:rPr>
          <w:b/>
          <w:sz w:val="24"/>
          <w:u w:val="single"/>
        </w:rPr>
        <w:t>Why Vaccines Are Crucial</w:t>
      </w:r>
      <w:r w:rsidRPr="009E43AD">
        <w:rPr>
          <w:b/>
        </w:rPr>
        <w:t>:</w:t>
      </w:r>
      <w:r>
        <w:t xml:space="preserve"> </w:t>
      </w:r>
      <w:r w:rsidRPr="000E4D62">
        <w:t>Immunization</w:t>
      </w:r>
      <w:r>
        <w:t xml:space="preserve"> continues to be one of the most cost-effective health interventions available, </w:t>
      </w:r>
      <w:r w:rsidRPr="000E4D62">
        <w:t>prevent</w:t>
      </w:r>
      <w:r>
        <w:t>ing</w:t>
      </w:r>
      <w:r w:rsidRPr="000E4D62">
        <w:t xml:space="preserve"> 2.5 million deaths and untold illnesses each year.</w:t>
      </w:r>
      <w:r>
        <w:t xml:space="preserve">  </w:t>
      </w:r>
    </w:p>
    <w:p w14:paraId="74E385C7" w14:textId="77777777" w:rsidR="009E43AD" w:rsidRDefault="009E43AD" w:rsidP="009E43AD">
      <w:pPr>
        <w:spacing w:after="0"/>
        <w:jc w:val="both"/>
        <w:rPr>
          <w:b/>
          <w:u w:val="single"/>
        </w:rPr>
      </w:pPr>
    </w:p>
    <w:p w14:paraId="74E385C8" w14:textId="77777777" w:rsidR="009E43AD" w:rsidRPr="005123DA" w:rsidRDefault="009E43AD" w:rsidP="009E43AD">
      <w:pPr>
        <w:autoSpaceDE w:val="0"/>
        <w:autoSpaceDN w:val="0"/>
        <w:spacing w:after="0"/>
        <w:jc w:val="both"/>
        <w:rPr>
          <w:rFonts w:cstheme="minorHAnsi"/>
        </w:rPr>
      </w:pPr>
      <w:r w:rsidRPr="009E43AD">
        <w:rPr>
          <w:b/>
          <w:sz w:val="24"/>
          <w:u w:val="single"/>
        </w:rPr>
        <w:t>Recent Progress</w:t>
      </w:r>
      <w:r w:rsidRPr="009E43AD">
        <w:rPr>
          <w:b/>
        </w:rPr>
        <w:t>:</w:t>
      </w:r>
      <w:r>
        <w:t xml:space="preserve"> </w:t>
      </w:r>
      <w:r w:rsidRPr="00A6277E">
        <w:t>Significant progress has been made in recent years to expan</w:t>
      </w:r>
      <w:r>
        <w:t>d immunization coverage rates. P</w:t>
      </w:r>
      <w:r w:rsidRPr="005123DA">
        <w:rPr>
          <w:rFonts w:cstheme="minorHAnsi"/>
        </w:rPr>
        <w:t xml:space="preserve">olio has been reduced </w:t>
      </w:r>
      <w:r>
        <w:rPr>
          <w:rFonts w:cstheme="minorHAnsi"/>
        </w:rPr>
        <w:t xml:space="preserve">by </w:t>
      </w:r>
      <w:r w:rsidRPr="005123DA">
        <w:rPr>
          <w:rFonts w:cstheme="minorHAnsi"/>
        </w:rPr>
        <w:t>99</w:t>
      </w:r>
      <w:r w:rsidR="003B4903">
        <w:rPr>
          <w:rFonts w:cstheme="minorHAnsi"/>
        </w:rPr>
        <w:t xml:space="preserve"> percent</w:t>
      </w:r>
      <w:r w:rsidRPr="005123DA">
        <w:rPr>
          <w:rFonts w:cstheme="minorHAnsi"/>
        </w:rPr>
        <w:t xml:space="preserve"> </w:t>
      </w:r>
      <w:r>
        <w:rPr>
          <w:rFonts w:cstheme="minorHAnsi"/>
        </w:rPr>
        <w:t xml:space="preserve">since 1988 </w:t>
      </w:r>
      <w:r w:rsidRPr="005123DA">
        <w:rPr>
          <w:rFonts w:cstheme="minorHAnsi"/>
        </w:rPr>
        <w:t xml:space="preserve">and we are </w:t>
      </w:r>
      <w:r>
        <w:rPr>
          <w:rFonts w:cstheme="minorHAnsi"/>
        </w:rPr>
        <w:t xml:space="preserve">now </w:t>
      </w:r>
      <w:r w:rsidRPr="005123DA">
        <w:rPr>
          <w:rFonts w:cstheme="minorHAnsi"/>
        </w:rPr>
        <w:t>poised to rid the world of this debilitating diseas</w:t>
      </w:r>
      <w:r>
        <w:rPr>
          <w:rFonts w:cstheme="minorHAnsi"/>
        </w:rPr>
        <w:t xml:space="preserve">e; </w:t>
      </w:r>
      <w:r w:rsidRPr="009A0560">
        <w:rPr>
          <w:rFonts w:cstheme="minorHAnsi"/>
        </w:rPr>
        <w:t>Vaccines hav</w:t>
      </w:r>
      <w:r>
        <w:rPr>
          <w:rFonts w:cstheme="minorHAnsi"/>
        </w:rPr>
        <w:t>e reduced measles deaths by 74</w:t>
      </w:r>
      <w:r w:rsidR="003B4903">
        <w:rPr>
          <w:rFonts w:cstheme="minorHAnsi"/>
        </w:rPr>
        <w:t xml:space="preserve"> percent</w:t>
      </w:r>
      <w:r>
        <w:rPr>
          <w:rFonts w:cstheme="minorHAnsi"/>
        </w:rPr>
        <w:t>; and r</w:t>
      </w:r>
      <w:r w:rsidRPr="0025264E">
        <w:rPr>
          <w:rFonts w:cstheme="minorHAnsi"/>
        </w:rPr>
        <w:t xml:space="preserve">outine immunization for diphtheria-tetanus-pertussis </w:t>
      </w:r>
      <w:r>
        <w:rPr>
          <w:rFonts w:cstheme="minorHAnsi"/>
        </w:rPr>
        <w:t xml:space="preserve">(DTP) </w:t>
      </w:r>
      <w:r w:rsidRPr="0025264E">
        <w:rPr>
          <w:rFonts w:cstheme="minorHAnsi"/>
        </w:rPr>
        <w:t>reached 109 million children in 2010</w:t>
      </w:r>
      <w:r w:rsidRPr="0069464F">
        <w:rPr>
          <w:rFonts w:cstheme="minorHAnsi"/>
          <w:lang w:val="en-GB"/>
        </w:rPr>
        <w:t>.</w:t>
      </w:r>
      <w:r>
        <w:rPr>
          <w:rFonts w:cstheme="minorHAnsi"/>
          <w:lang w:val="en-GB"/>
        </w:rPr>
        <w:t xml:space="preserve"> Despite these successes</w:t>
      </w:r>
      <w:r w:rsidRPr="003C5FB5">
        <w:rPr>
          <w:rFonts w:cstheme="minorHAnsi"/>
          <w:lang w:val="en-GB"/>
        </w:rPr>
        <w:t>, a sizeable gap remains in the number of children who are unimmunized or under-immunized.</w:t>
      </w:r>
      <w:r>
        <w:rPr>
          <w:rFonts w:cstheme="minorHAnsi"/>
          <w:lang w:val="en-GB"/>
        </w:rPr>
        <w:t xml:space="preserve"> </w:t>
      </w:r>
    </w:p>
    <w:p w14:paraId="74E385C9" w14:textId="77777777" w:rsidR="009E43AD" w:rsidRDefault="009E43AD" w:rsidP="009E43AD">
      <w:pPr>
        <w:spacing w:after="0"/>
        <w:jc w:val="both"/>
        <w:rPr>
          <w:rFonts w:cstheme="minorHAnsi"/>
          <w:b/>
          <w:u w:val="single"/>
        </w:rPr>
      </w:pPr>
    </w:p>
    <w:p w14:paraId="74E385CA" w14:textId="77777777" w:rsidR="009E43AD" w:rsidRPr="00310CA7" w:rsidRDefault="009E43AD" w:rsidP="009E43AD">
      <w:pPr>
        <w:spacing w:after="0"/>
        <w:jc w:val="both"/>
        <w:rPr>
          <w:rFonts w:cstheme="minorHAnsi"/>
          <w:b/>
          <w:u w:val="single"/>
        </w:rPr>
      </w:pPr>
      <w:r w:rsidRPr="009E43AD">
        <w:rPr>
          <w:rFonts w:cstheme="minorHAnsi"/>
          <w:b/>
          <w:sz w:val="24"/>
          <w:u w:val="single"/>
        </w:rPr>
        <w:t>Challenges</w:t>
      </w:r>
      <w:r w:rsidRPr="009E43AD">
        <w:rPr>
          <w:rFonts w:cstheme="minorHAnsi"/>
          <w:b/>
        </w:rPr>
        <w:t>:</w:t>
      </w:r>
    </w:p>
    <w:p w14:paraId="74E385CB" w14:textId="77777777" w:rsidR="009E43AD" w:rsidRPr="003B4903" w:rsidRDefault="009E43AD" w:rsidP="009E43AD">
      <w:pPr>
        <w:pStyle w:val="ListParagraph"/>
        <w:numPr>
          <w:ilvl w:val="0"/>
          <w:numId w:val="17"/>
        </w:numPr>
        <w:spacing w:after="0"/>
        <w:jc w:val="both"/>
        <w:rPr>
          <w:rFonts w:cstheme="minorHAnsi"/>
        </w:rPr>
      </w:pPr>
      <w:r w:rsidRPr="003B4903">
        <w:rPr>
          <w:rFonts w:cstheme="minorHAnsi"/>
        </w:rPr>
        <w:t>There are global disparities in immunization rates.</w:t>
      </w:r>
      <w:r w:rsidRPr="003B4903">
        <w:rPr>
          <w:rFonts w:ascii="Calibri" w:hAnsi="Calibri" w:cs="Calibri"/>
        </w:rPr>
        <w:t xml:space="preserve"> Nearly 15 percent of newborns each year remain unvaccinated for DTP. </w:t>
      </w:r>
      <w:r w:rsidR="003B4903">
        <w:rPr>
          <w:rFonts w:cstheme="minorHAnsi"/>
        </w:rPr>
        <w:t xml:space="preserve">Ninety six </w:t>
      </w:r>
      <w:r w:rsidRPr="003B4903">
        <w:rPr>
          <w:rFonts w:cstheme="minorHAnsi"/>
        </w:rPr>
        <w:t>percent of those children live in low- and middle-</w:t>
      </w:r>
      <w:proofErr w:type="gramStart"/>
      <w:r w:rsidRPr="003B4903">
        <w:rPr>
          <w:rFonts w:cstheme="minorHAnsi"/>
        </w:rPr>
        <w:t>income</w:t>
      </w:r>
      <w:proofErr w:type="gramEnd"/>
      <w:r w:rsidRPr="003B4903">
        <w:rPr>
          <w:rFonts w:cstheme="minorHAnsi"/>
        </w:rPr>
        <w:t xml:space="preserve"> countries.</w:t>
      </w:r>
    </w:p>
    <w:p w14:paraId="74E385CC" w14:textId="77777777" w:rsidR="009E43AD" w:rsidRPr="003B4903" w:rsidRDefault="009E43AD" w:rsidP="009E43AD">
      <w:pPr>
        <w:pStyle w:val="ListParagraph"/>
        <w:numPr>
          <w:ilvl w:val="0"/>
          <w:numId w:val="18"/>
        </w:numPr>
        <w:spacing w:after="0"/>
        <w:jc w:val="both"/>
        <w:rPr>
          <w:rFonts w:cstheme="minorHAnsi"/>
          <w:lang w:val="en-GB"/>
        </w:rPr>
      </w:pPr>
      <w:r w:rsidRPr="003B4903">
        <w:rPr>
          <w:rFonts w:cstheme="minorHAnsi"/>
        </w:rPr>
        <w:t xml:space="preserve">Disparities exist within countries as well. </w:t>
      </w:r>
      <w:r w:rsidRPr="003B4903">
        <w:rPr>
          <w:rFonts w:cstheme="minorHAnsi"/>
          <w:lang w:val="en-GB"/>
        </w:rPr>
        <w:t>In some countries, coverage of measles vaccine in rural areas is 33</w:t>
      </w:r>
      <w:r w:rsidR="003B4903">
        <w:rPr>
          <w:rFonts w:cstheme="minorHAnsi"/>
          <w:lang w:val="en-GB"/>
        </w:rPr>
        <w:t xml:space="preserve"> percent</w:t>
      </w:r>
      <w:r w:rsidRPr="003B4903">
        <w:rPr>
          <w:rFonts w:cstheme="minorHAnsi"/>
          <w:lang w:val="en-GB"/>
        </w:rPr>
        <w:t xml:space="preserve"> lower than in urban areas. The measles vaccine coverage rate for the poorest fifth of the population in some countries is up to 42</w:t>
      </w:r>
      <w:r w:rsidR="003B4903">
        <w:rPr>
          <w:rFonts w:cstheme="minorHAnsi"/>
          <w:lang w:val="en-GB"/>
        </w:rPr>
        <w:t xml:space="preserve"> percent</w:t>
      </w:r>
      <w:r w:rsidRPr="003B4903">
        <w:rPr>
          <w:rFonts w:cstheme="minorHAnsi"/>
          <w:lang w:val="en-GB"/>
        </w:rPr>
        <w:t xml:space="preserve"> lower than for the richest fifth.</w:t>
      </w:r>
    </w:p>
    <w:p w14:paraId="74E385CD" w14:textId="77777777" w:rsidR="009E43AD" w:rsidRDefault="009E43AD" w:rsidP="009E43AD">
      <w:pPr>
        <w:spacing w:after="0"/>
        <w:jc w:val="both"/>
        <w:rPr>
          <w:b/>
          <w:u w:val="single"/>
        </w:rPr>
      </w:pPr>
    </w:p>
    <w:p w14:paraId="74E385CE" w14:textId="77777777" w:rsidR="006B100E" w:rsidRDefault="006B100E" w:rsidP="009E43AD">
      <w:pPr>
        <w:spacing w:after="0"/>
        <w:jc w:val="both"/>
        <w:rPr>
          <w:b/>
          <w:sz w:val="24"/>
          <w:u w:val="single"/>
        </w:rPr>
      </w:pPr>
    </w:p>
    <w:p w14:paraId="74E385CF" w14:textId="77777777" w:rsidR="009E43AD" w:rsidRPr="00FA6ACA" w:rsidRDefault="009E43AD" w:rsidP="009E43AD">
      <w:pPr>
        <w:spacing w:after="0"/>
        <w:jc w:val="both"/>
      </w:pPr>
      <w:r w:rsidRPr="009E43AD">
        <w:rPr>
          <w:b/>
          <w:sz w:val="24"/>
          <w:u w:val="single"/>
        </w:rPr>
        <w:lastRenderedPageBreak/>
        <w:t>Ambitious Goals</w:t>
      </w:r>
      <w:r w:rsidRPr="009E43AD">
        <w:rPr>
          <w:b/>
        </w:rPr>
        <w:t>:</w:t>
      </w:r>
      <w:r w:rsidRPr="00FA6ACA">
        <w:t xml:space="preserve"> We have the political will and a broad array of scientific, logistical and financial tools available to close these gaps by the end of this decade.  Through implementation of the GVAP during the Decade of Vaccines we will:</w:t>
      </w:r>
    </w:p>
    <w:p w14:paraId="74E385D0" w14:textId="77777777" w:rsidR="009E43AD" w:rsidRPr="000D0FD4" w:rsidRDefault="009E43AD" w:rsidP="009E43AD">
      <w:pPr>
        <w:pStyle w:val="ListParagraph"/>
        <w:numPr>
          <w:ilvl w:val="0"/>
          <w:numId w:val="18"/>
        </w:numPr>
        <w:spacing w:after="0"/>
        <w:jc w:val="both"/>
        <w:rPr>
          <w:b/>
        </w:rPr>
      </w:pPr>
      <w:r>
        <w:t>A</w:t>
      </w:r>
      <w:r w:rsidRPr="0019506C">
        <w:t xml:space="preserve">chieve a world free of polio. </w:t>
      </w:r>
    </w:p>
    <w:p w14:paraId="74E385D1" w14:textId="77777777" w:rsidR="009E43AD" w:rsidRPr="0019506C" w:rsidRDefault="009E43AD" w:rsidP="009E43AD">
      <w:pPr>
        <w:pStyle w:val="ListParagraph"/>
        <w:numPr>
          <w:ilvl w:val="0"/>
          <w:numId w:val="19"/>
        </w:numPr>
        <w:spacing w:after="0"/>
        <w:jc w:val="both"/>
      </w:pPr>
      <w:r>
        <w:t>M</w:t>
      </w:r>
      <w:r w:rsidRPr="0019506C">
        <w:t>eet global and regional disease elimination targets (such as targets for neo-natal tetanus, measles and rubella).</w:t>
      </w:r>
    </w:p>
    <w:p w14:paraId="74E385D2" w14:textId="77777777" w:rsidR="009E43AD" w:rsidRPr="0019506C" w:rsidRDefault="009E43AD" w:rsidP="009E43AD">
      <w:pPr>
        <w:pStyle w:val="ListParagraph"/>
        <w:numPr>
          <w:ilvl w:val="0"/>
          <w:numId w:val="19"/>
        </w:numPr>
        <w:spacing w:after="0"/>
        <w:jc w:val="both"/>
      </w:pPr>
      <w:r>
        <w:t>M</w:t>
      </w:r>
      <w:r w:rsidRPr="0019506C">
        <w:t>eet vaccination coverage rate targets in every region, country and community (90</w:t>
      </w:r>
      <w:r w:rsidR="003B4903">
        <w:t xml:space="preserve"> percent</w:t>
      </w:r>
      <w:r w:rsidRPr="0019506C">
        <w:t xml:space="preserve"> national and 80</w:t>
      </w:r>
      <w:r w:rsidR="003B4903">
        <w:t xml:space="preserve"> percent</w:t>
      </w:r>
      <w:r w:rsidRPr="0019506C">
        <w:t xml:space="preserve"> in district or its equivalent).</w:t>
      </w:r>
    </w:p>
    <w:p w14:paraId="74E385D3" w14:textId="77777777" w:rsidR="009E43AD" w:rsidRPr="0019506C" w:rsidRDefault="009E43AD" w:rsidP="009E43AD">
      <w:pPr>
        <w:pStyle w:val="ListParagraph"/>
        <w:numPr>
          <w:ilvl w:val="0"/>
          <w:numId w:val="19"/>
        </w:numPr>
        <w:spacing w:after="0"/>
        <w:jc w:val="both"/>
      </w:pPr>
      <w:r>
        <w:t>D</w:t>
      </w:r>
      <w:r w:rsidRPr="0019506C">
        <w:t>evelop and introduce new and improved vaccines and technologies.</w:t>
      </w:r>
    </w:p>
    <w:p w14:paraId="74E385D4" w14:textId="77777777" w:rsidR="009E43AD" w:rsidRDefault="009E43AD" w:rsidP="009E43AD">
      <w:pPr>
        <w:pStyle w:val="ListParagraph"/>
        <w:numPr>
          <w:ilvl w:val="0"/>
          <w:numId w:val="19"/>
        </w:numPr>
        <w:spacing w:after="0"/>
        <w:jc w:val="both"/>
      </w:pPr>
      <w:r>
        <w:t>M</w:t>
      </w:r>
      <w:r w:rsidRPr="0019506C">
        <w:t>eet or exceed the Millennium Development Goal for a two-thirds reduction in global child mortality by 2015.</w:t>
      </w:r>
    </w:p>
    <w:p w14:paraId="74E385D5" w14:textId="77777777" w:rsidR="009E43AD" w:rsidRDefault="009E43AD" w:rsidP="009E43AD">
      <w:pPr>
        <w:pStyle w:val="ListParagraph"/>
        <w:spacing w:after="0"/>
        <w:jc w:val="both"/>
      </w:pPr>
    </w:p>
    <w:p w14:paraId="74E385D6" w14:textId="77777777" w:rsidR="009E43AD" w:rsidRDefault="009E43AD" w:rsidP="009E43AD">
      <w:pPr>
        <w:spacing w:after="0"/>
        <w:jc w:val="both"/>
      </w:pPr>
      <w:r w:rsidRPr="009E43AD">
        <w:rPr>
          <w:b/>
          <w:sz w:val="24"/>
          <w:u w:val="single"/>
        </w:rPr>
        <w:t>Strategic Objectives</w:t>
      </w:r>
      <w:r w:rsidRPr="009E43AD">
        <w:rPr>
          <w:b/>
        </w:rPr>
        <w:t>:</w:t>
      </w:r>
      <w:r w:rsidRPr="00B77403">
        <w:t xml:space="preserve"> </w:t>
      </w:r>
      <w:r w:rsidRPr="000D0FD4">
        <w:t xml:space="preserve">The GVAP identifies six strategic objectives that must be achieved in order to realize the </w:t>
      </w:r>
      <w:proofErr w:type="spellStart"/>
      <w:r w:rsidRPr="000D0FD4">
        <w:t>DoV</w:t>
      </w:r>
      <w:proofErr w:type="spellEnd"/>
      <w:r w:rsidRPr="000D0FD4">
        <w:t xml:space="preserve"> vision.</w:t>
      </w:r>
      <w:r>
        <w:t xml:space="preserve"> </w:t>
      </w:r>
    </w:p>
    <w:p w14:paraId="74E385D7" w14:textId="77777777" w:rsidR="009E43AD" w:rsidRPr="00020F0D" w:rsidRDefault="009E43AD" w:rsidP="009E43AD">
      <w:pPr>
        <w:pStyle w:val="ListParagraph"/>
        <w:numPr>
          <w:ilvl w:val="0"/>
          <w:numId w:val="20"/>
        </w:numPr>
        <w:spacing w:after="0"/>
        <w:jc w:val="both"/>
      </w:pPr>
      <w:r w:rsidRPr="006B5DE6">
        <w:rPr>
          <w:rFonts w:cstheme="minorHAnsi"/>
          <w:lang w:val="en-GB"/>
        </w:rPr>
        <w:t xml:space="preserve">The benefits of immunization </w:t>
      </w:r>
      <w:r>
        <w:rPr>
          <w:rFonts w:cstheme="minorHAnsi"/>
          <w:lang w:val="en-GB"/>
        </w:rPr>
        <w:t>need to be</w:t>
      </w:r>
      <w:r w:rsidRPr="006B5DE6">
        <w:rPr>
          <w:rFonts w:cstheme="minorHAnsi"/>
          <w:lang w:val="en-GB"/>
        </w:rPr>
        <w:t xml:space="preserve"> equitably extended to all people.</w:t>
      </w:r>
    </w:p>
    <w:p w14:paraId="74E385D8" w14:textId="77777777" w:rsidR="009E43AD" w:rsidRPr="000D0FD4" w:rsidRDefault="009E43AD" w:rsidP="009E43AD">
      <w:pPr>
        <w:pStyle w:val="ListParagraph"/>
        <w:numPr>
          <w:ilvl w:val="0"/>
          <w:numId w:val="20"/>
        </w:numPr>
        <w:spacing w:after="0"/>
        <w:jc w:val="both"/>
      </w:pPr>
      <w:r w:rsidRPr="006B5DE6">
        <w:rPr>
          <w:rFonts w:cstheme="minorHAnsi"/>
          <w:lang w:val="en-GB"/>
        </w:rPr>
        <w:t xml:space="preserve">All countries </w:t>
      </w:r>
      <w:r>
        <w:rPr>
          <w:rFonts w:cstheme="minorHAnsi"/>
          <w:lang w:val="en-GB"/>
        </w:rPr>
        <w:t xml:space="preserve">must </w:t>
      </w:r>
      <w:r w:rsidRPr="006B5DE6">
        <w:rPr>
          <w:rFonts w:cstheme="minorHAnsi"/>
          <w:lang w:val="en-GB"/>
        </w:rPr>
        <w:t>commit to immunization as a priority.</w:t>
      </w:r>
    </w:p>
    <w:p w14:paraId="74E385D9" w14:textId="77777777" w:rsidR="009E43AD" w:rsidRPr="000D0FD4" w:rsidRDefault="009E43AD" w:rsidP="009E43AD">
      <w:pPr>
        <w:pStyle w:val="ListParagraph"/>
        <w:numPr>
          <w:ilvl w:val="0"/>
          <w:numId w:val="20"/>
        </w:numPr>
        <w:spacing w:after="0"/>
        <w:jc w:val="both"/>
        <w:rPr>
          <w:rFonts w:cstheme="minorHAnsi"/>
          <w:lang w:val="en-GB"/>
        </w:rPr>
      </w:pPr>
      <w:r w:rsidRPr="000D0FD4">
        <w:rPr>
          <w:rFonts w:cstheme="minorHAnsi"/>
          <w:lang w:val="en-GB"/>
        </w:rPr>
        <w:t xml:space="preserve">Individuals and communities </w:t>
      </w:r>
      <w:r>
        <w:rPr>
          <w:rFonts w:cstheme="minorHAnsi"/>
          <w:lang w:val="en-GB"/>
        </w:rPr>
        <w:t xml:space="preserve">need to </w:t>
      </w:r>
      <w:r w:rsidRPr="000D0FD4">
        <w:rPr>
          <w:rFonts w:cstheme="minorHAnsi"/>
          <w:lang w:val="en-GB"/>
        </w:rPr>
        <w:t xml:space="preserve">understand the value of vaccines and demand immunization as both their right and responsibility. </w:t>
      </w:r>
    </w:p>
    <w:p w14:paraId="74E385DA" w14:textId="77777777" w:rsidR="009E43AD" w:rsidRPr="005B5A71" w:rsidRDefault="009E43AD" w:rsidP="009E43AD">
      <w:pPr>
        <w:pStyle w:val="ListParagraph"/>
        <w:numPr>
          <w:ilvl w:val="0"/>
          <w:numId w:val="20"/>
        </w:numPr>
        <w:spacing w:after="0"/>
        <w:jc w:val="both"/>
      </w:pPr>
      <w:r w:rsidRPr="006B5DE6">
        <w:rPr>
          <w:rFonts w:cstheme="minorHAnsi"/>
          <w:lang w:val="en-GB"/>
        </w:rPr>
        <w:t xml:space="preserve">Strong immunization systems </w:t>
      </w:r>
      <w:r>
        <w:rPr>
          <w:rFonts w:cstheme="minorHAnsi"/>
          <w:lang w:val="en-GB"/>
        </w:rPr>
        <w:t>must be</w:t>
      </w:r>
      <w:r w:rsidRPr="006B5DE6">
        <w:rPr>
          <w:rFonts w:cstheme="minorHAnsi"/>
          <w:lang w:val="en-GB"/>
        </w:rPr>
        <w:t xml:space="preserve"> an integral part of a well-functioning health system.</w:t>
      </w:r>
    </w:p>
    <w:p w14:paraId="74E385DB" w14:textId="77777777" w:rsidR="009E43AD" w:rsidRPr="005B5A71" w:rsidRDefault="009E43AD" w:rsidP="009E43AD">
      <w:pPr>
        <w:pStyle w:val="ListParagraph"/>
        <w:numPr>
          <w:ilvl w:val="0"/>
          <w:numId w:val="20"/>
        </w:numPr>
        <w:spacing w:after="0"/>
        <w:jc w:val="both"/>
        <w:rPr>
          <w:rFonts w:cstheme="minorHAnsi"/>
          <w:lang w:val="en-GB"/>
        </w:rPr>
      </w:pPr>
      <w:r w:rsidRPr="005B5A71">
        <w:rPr>
          <w:rFonts w:cstheme="minorHAnsi"/>
          <w:lang w:val="en-GB"/>
        </w:rPr>
        <w:t xml:space="preserve">Immunization programmes </w:t>
      </w:r>
      <w:r>
        <w:rPr>
          <w:rFonts w:cstheme="minorHAnsi"/>
          <w:lang w:val="en-GB"/>
        </w:rPr>
        <w:t xml:space="preserve">should </w:t>
      </w:r>
      <w:r w:rsidRPr="005B5A71">
        <w:rPr>
          <w:rFonts w:cstheme="minorHAnsi"/>
          <w:lang w:val="en-GB"/>
        </w:rPr>
        <w:t xml:space="preserve">have sustainable access to predictable funding, quality supply and innovative technologies. </w:t>
      </w:r>
    </w:p>
    <w:p w14:paraId="74E385DC" w14:textId="77777777" w:rsidR="009E43AD" w:rsidRPr="00B77403" w:rsidRDefault="009E43AD" w:rsidP="009E43AD">
      <w:pPr>
        <w:pStyle w:val="ListParagraph"/>
        <w:numPr>
          <w:ilvl w:val="0"/>
          <w:numId w:val="20"/>
        </w:numPr>
        <w:spacing w:after="0"/>
        <w:jc w:val="both"/>
        <w:rPr>
          <w:b/>
          <w:u w:val="single"/>
        </w:rPr>
      </w:pPr>
      <w:r w:rsidRPr="006B5DE6">
        <w:rPr>
          <w:lang w:val="en-GB"/>
        </w:rPr>
        <w:t xml:space="preserve">Country, regional and global research &amp; development (R&amp;D) innovations </w:t>
      </w:r>
      <w:r>
        <w:rPr>
          <w:lang w:val="en-GB"/>
        </w:rPr>
        <w:t xml:space="preserve">are necessary to </w:t>
      </w:r>
      <w:r w:rsidRPr="006B5DE6">
        <w:rPr>
          <w:lang w:val="en-GB"/>
        </w:rPr>
        <w:t>maximize the benefits of immunization.</w:t>
      </w:r>
    </w:p>
    <w:p w14:paraId="74E385DD" w14:textId="77777777" w:rsidR="009E43AD" w:rsidRDefault="009E43AD" w:rsidP="009E43AD">
      <w:pPr>
        <w:autoSpaceDE w:val="0"/>
        <w:autoSpaceDN w:val="0"/>
        <w:spacing w:after="0"/>
        <w:jc w:val="both"/>
        <w:rPr>
          <w:b/>
          <w:sz w:val="24"/>
          <w:u w:val="single"/>
        </w:rPr>
      </w:pPr>
    </w:p>
    <w:p w14:paraId="74E385DE" w14:textId="77777777" w:rsidR="009E43AD" w:rsidRPr="006B100E" w:rsidRDefault="009E43AD" w:rsidP="006B100E">
      <w:pPr>
        <w:autoSpaceDE w:val="0"/>
        <w:autoSpaceDN w:val="0"/>
        <w:spacing w:after="0"/>
        <w:jc w:val="both"/>
        <w:rPr>
          <w:rFonts w:ascii="Calibri" w:hAnsi="Calibri" w:cs="Courier"/>
          <w:bCs/>
          <w:iCs/>
          <w:lang w:val="en-GB"/>
        </w:rPr>
      </w:pPr>
      <w:r w:rsidRPr="009E43AD">
        <w:rPr>
          <w:b/>
          <w:sz w:val="24"/>
          <w:u w:val="single"/>
        </w:rPr>
        <w:t>Monitoring &amp; Evaluation/Accountability Framework</w:t>
      </w:r>
      <w:r w:rsidRPr="00B77403">
        <w:rPr>
          <w:rFonts w:ascii="Calibri" w:hAnsi="Calibri" w:cs="Courier"/>
          <w:bCs/>
          <w:iCs/>
          <w:lang w:val="en-GB"/>
        </w:rPr>
        <w:t xml:space="preserve">: Indicators defined for each </w:t>
      </w:r>
      <w:r w:rsidR="00A81532">
        <w:rPr>
          <w:rFonts w:ascii="Calibri" w:hAnsi="Calibri" w:cs="Courier"/>
          <w:bCs/>
          <w:iCs/>
          <w:lang w:val="en-GB"/>
        </w:rPr>
        <w:t xml:space="preserve">GVAP goal and </w:t>
      </w:r>
      <w:r w:rsidRPr="00B77403">
        <w:rPr>
          <w:rFonts w:ascii="Calibri" w:hAnsi="Calibri" w:cs="Courier"/>
          <w:bCs/>
          <w:iCs/>
          <w:lang w:val="en-GB"/>
        </w:rPr>
        <w:t xml:space="preserve">strategic objective will be used to collect data throughout the decade and to review progress at national, regional and global levels. Existing immunization review mechanisms will be strengthened and expanded to include the </w:t>
      </w:r>
      <w:proofErr w:type="spellStart"/>
      <w:r w:rsidR="00A81532">
        <w:rPr>
          <w:rFonts w:ascii="Calibri" w:hAnsi="Calibri" w:cs="Courier"/>
          <w:bCs/>
          <w:iCs/>
          <w:lang w:val="en-GB"/>
        </w:rPr>
        <w:t>DoV</w:t>
      </w:r>
      <w:proofErr w:type="spellEnd"/>
      <w:r w:rsidRPr="00B77403">
        <w:rPr>
          <w:rFonts w:ascii="Calibri" w:hAnsi="Calibri" w:cs="Courier"/>
          <w:bCs/>
          <w:iCs/>
          <w:lang w:val="en-GB"/>
        </w:rPr>
        <w:t xml:space="preserve"> and the GVAP’s indicators, using Interagency Coordinating Committees, Immunization Technical Advisory Groups and the WHO Strategic Advisory Group of Experts.  Mechanisms already established for the UN Global Strategy for Women’s and Children’s Health Accountability Framework are being evaluated for possible use to encourage and monitor commitments made by all stakeholders. Technical experts are also developing a set of specifications to track resources. </w:t>
      </w:r>
    </w:p>
    <w:p w14:paraId="74E385DF" w14:textId="77777777" w:rsidR="009E43AD" w:rsidRDefault="009E43AD" w:rsidP="009E43AD">
      <w:pPr>
        <w:spacing w:after="0"/>
        <w:jc w:val="both"/>
        <w:rPr>
          <w:b/>
          <w:u w:val="single"/>
        </w:rPr>
      </w:pPr>
    </w:p>
    <w:p w14:paraId="74E385E0" w14:textId="77777777" w:rsidR="006B100E" w:rsidRDefault="00A81532" w:rsidP="009E43AD">
      <w:pPr>
        <w:spacing w:after="0"/>
        <w:jc w:val="both"/>
      </w:pPr>
      <w:r w:rsidRPr="009E43AD">
        <w:rPr>
          <w:rFonts w:ascii="Calibri" w:hAnsi="Calibri" w:cs="Courier"/>
          <w:b/>
          <w:bCs/>
          <w:iCs/>
          <w:sz w:val="24"/>
          <w:u w:val="single"/>
          <w:lang w:val="en-GB"/>
        </w:rPr>
        <w:t>R</w:t>
      </w:r>
      <w:r>
        <w:rPr>
          <w:rFonts w:ascii="Calibri" w:hAnsi="Calibri" w:cs="Courier"/>
          <w:b/>
          <w:bCs/>
          <w:iCs/>
          <w:sz w:val="24"/>
          <w:u w:val="single"/>
          <w:lang w:val="en-GB"/>
        </w:rPr>
        <w:t>esearch</w:t>
      </w:r>
      <w:r w:rsidR="009E43AD" w:rsidRPr="009E43AD">
        <w:rPr>
          <w:rFonts w:ascii="Calibri" w:hAnsi="Calibri" w:cs="Courier"/>
          <w:b/>
          <w:bCs/>
          <w:iCs/>
          <w:sz w:val="24"/>
          <w:u w:val="single"/>
          <w:lang w:val="en-GB"/>
        </w:rPr>
        <w:t xml:space="preserve"> &amp; D</w:t>
      </w:r>
      <w:r>
        <w:rPr>
          <w:rFonts w:ascii="Calibri" w:hAnsi="Calibri" w:cs="Courier"/>
          <w:b/>
          <w:bCs/>
          <w:iCs/>
          <w:sz w:val="24"/>
          <w:u w:val="single"/>
          <w:lang w:val="en-GB"/>
        </w:rPr>
        <w:t>evelopment</w:t>
      </w:r>
      <w:r w:rsidR="009E43AD" w:rsidRPr="009E43AD">
        <w:rPr>
          <w:rFonts w:ascii="Calibri" w:hAnsi="Calibri" w:cs="Courier"/>
          <w:b/>
          <w:bCs/>
          <w:iCs/>
          <w:lang w:val="en-GB"/>
        </w:rPr>
        <w:t>:</w:t>
      </w:r>
      <w:r w:rsidR="009E43AD">
        <w:rPr>
          <w:rFonts w:ascii="Calibri" w:hAnsi="Calibri" w:cs="Courier"/>
          <w:bCs/>
          <w:iCs/>
          <w:lang w:val="en-GB"/>
        </w:rPr>
        <w:t xml:space="preserve"> </w:t>
      </w:r>
      <w:r w:rsidR="004A325B">
        <w:t xml:space="preserve">The GVAP challenges the R&amp;D community to produce new vaccines against malaria, HIV/AIDS, TB, and a universal influenza vaccine, as well as other vaccines that will address currently non-vaccine preventable diseases. The GVAP also challenges the community to produce platform technologies such as thermostable vaccines and a research-based global regulatory agenda. Further focus is placed on operational and implementation research, new manufacturing technologies and basic research.  Progress on R&amp;D will be reported every two years. </w:t>
      </w:r>
    </w:p>
    <w:p w14:paraId="74E385E1" w14:textId="77777777" w:rsidR="004A325B" w:rsidRDefault="004A325B" w:rsidP="009E43AD">
      <w:pPr>
        <w:spacing w:after="0"/>
        <w:jc w:val="both"/>
      </w:pPr>
    </w:p>
    <w:p w14:paraId="74E385E2" w14:textId="77777777" w:rsidR="006B100E" w:rsidRDefault="006B100E" w:rsidP="00376185">
      <w:pPr>
        <w:spacing w:after="0"/>
        <w:jc w:val="both"/>
        <w:rPr>
          <w:rFonts w:ascii="Calibri" w:hAnsi="Calibri" w:cs="Courier"/>
        </w:rPr>
      </w:pPr>
      <w:r w:rsidRPr="00376185">
        <w:rPr>
          <w:rFonts w:ascii="Calibri" w:hAnsi="Calibri" w:cs="Courier"/>
          <w:b/>
          <w:sz w:val="24"/>
          <w:szCs w:val="24"/>
          <w:u w:val="single"/>
        </w:rPr>
        <w:lastRenderedPageBreak/>
        <w:t>Leadership</w:t>
      </w:r>
      <w:r w:rsidRPr="00376185">
        <w:rPr>
          <w:rFonts w:ascii="Calibri" w:hAnsi="Calibri" w:cs="Courier"/>
          <w:b/>
          <w:sz w:val="24"/>
          <w:szCs w:val="24"/>
        </w:rPr>
        <w:t>:</w:t>
      </w:r>
      <w:r>
        <w:rPr>
          <w:rFonts w:ascii="Calibri" w:hAnsi="Calibri" w:cs="Courier"/>
        </w:rPr>
        <w:t xml:space="preserve"> </w:t>
      </w:r>
      <w:r w:rsidRPr="00443193">
        <w:rPr>
          <w:rFonts w:ascii="Calibri" w:hAnsi="Calibri" w:cs="Courier"/>
        </w:rPr>
        <w:t>The World Health Organization, UNICEF, the Bill &amp; Melinda Gates</w:t>
      </w:r>
      <w:r>
        <w:rPr>
          <w:rFonts w:ascii="Calibri" w:hAnsi="Calibri" w:cs="Courier"/>
        </w:rPr>
        <w:t xml:space="preserve"> Foundation, the GAVI Alliance and </w:t>
      </w:r>
      <w:r w:rsidRPr="00443193">
        <w:rPr>
          <w:rFonts w:ascii="Calibri" w:hAnsi="Calibri" w:cs="Courier"/>
        </w:rPr>
        <w:t xml:space="preserve">the U.S. National Institute of Allergy and Infectious Diseases are the principal organizations that have led the </w:t>
      </w:r>
      <w:r>
        <w:rPr>
          <w:rFonts w:ascii="Calibri" w:hAnsi="Calibri" w:cs="Courier"/>
        </w:rPr>
        <w:t xml:space="preserve">Decade of Vaccine Collaboration, with input from many other experts and organizations. </w:t>
      </w:r>
      <w:r w:rsidR="00376185">
        <w:rPr>
          <w:rFonts w:ascii="Calibri" w:hAnsi="Calibri" w:cs="Courier"/>
        </w:rPr>
        <w:t xml:space="preserve">A Steering Committee </w:t>
      </w:r>
      <w:r w:rsidR="00376185" w:rsidRPr="00376185">
        <w:rPr>
          <w:rFonts w:ascii="Calibri" w:hAnsi="Calibri" w:cs="Courier"/>
        </w:rPr>
        <w:t xml:space="preserve">was the driving force behind the development of the </w:t>
      </w:r>
      <w:r w:rsidR="003B4903">
        <w:rPr>
          <w:rFonts w:ascii="Calibri" w:hAnsi="Calibri" w:cs="Courier"/>
        </w:rPr>
        <w:t xml:space="preserve">GVAP, guiding </w:t>
      </w:r>
      <w:r w:rsidR="00376185" w:rsidRPr="00376185">
        <w:rPr>
          <w:rFonts w:ascii="Calibri" w:hAnsi="Calibri" w:cs="Courier"/>
        </w:rPr>
        <w:t>the consultation process of working groups on Delivery, Global Access, Public &amp; Political Support</w:t>
      </w:r>
      <w:r w:rsidR="00376185">
        <w:rPr>
          <w:rFonts w:ascii="Calibri" w:hAnsi="Calibri" w:cs="Courier"/>
        </w:rPr>
        <w:t xml:space="preserve"> and Research &amp; Development.</w:t>
      </w:r>
      <w:r w:rsidR="00376185" w:rsidRPr="00376185">
        <w:rPr>
          <w:rFonts w:ascii="Calibri" w:hAnsi="Calibri" w:cs="Courier"/>
        </w:rPr>
        <w:t xml:space="preserve"> The </w:t>
      </w:r>
      <w:proofErr w:type="spellStart"/>
      <w:r w:rsidR="00376185" w:rsidRPr="00376185">
        <w:rPr>
          <w:rFonts w:ascii="Calibri" w:hAnsi="Calibri" w:cs="Courier"/>
        </w:rPr>
        <w:t>DoV</w:t>
      </w:r>
      <w:proofErr w:type="spellEnd"/>
      <w:r w:rsidR="00376185" w:rsidRPr="00376185">
        <w:rPr>
          <w:rFonts w:ascii="Calibri" w:hAnsi="Calibri" w:cs="Courier"/>
        </w:rPr>
        <w:t xml:space="preserve"> Collaboration Secretariat</w:t>
      </w:r>
      <w:r w:rsidR="00376185">
        <w:rPr>
          <w:rFonts w:ascii="Calibri" w:hAnsi="Calibri" w:cs="Courier"/>
        </w:rPr>
        <w:t xml:space="preserve"> was </w:t>
      </w:r>
      <w:r w:rsidR="00376185" w:rsidRPr="00376185">
        <w:rPr>
          <w:rFonts w:ascii="Calibri" w:hAnsi="Calibri" w:cs="Courier"/>
        </w:rPr>
        <w:t>responsible for preparing and</w:t>
      </w:r>
      <w:r w:rsidR="00376185">
        <w:rPr>
          <w:rFonts w:ascii="Calibri" w:hAnsi="Calibri" w:cs="Courier"/>
        </w:rPr>
        <w:t xml:space="preserve"> </w:t>
      </w:r>
      <w:r w:rsidR="00376185" w:rsidRPr="00376185">
        <w:rPr>
          <w:rFonts w:ascii="Calibri" w:hAnsi="Calibri" w:cs="Courier"/>
        </w:rPr>
        <w:t>managing the consultation process</w:t>
      </w:r>
      <w:r w:rsidR="00376185">
        <w:rPr>
          <w:rFonts w:ascii="Calibri" w:hAnsi="Calibri" w:cs="Courier"/>
        </w:rPr>
        <w:t xml:space="preserve"> </w:t>
      </w:r>
      <w:r w:rsidR="00376185" w:rsidRPr="00376185">
        <w:rPr>
          <w:rFonts w:ascii="Calibri" w:hAnsi="Calibri" w:cs="Courier"/>
        </w:rPr>
        <w:t>in</w:t>
      </w:r>
      <w:r w:rsidR="00376185">
        <w:rPr>
          <w:rFonts w:ascii="Calibri" w:hAnsi="Calibri" w:cs="Courier"/>
        </w:rPr>
        <w:t xml:space="preserve"> </w:t>
      </w:r>
      <w:r w:rsidR="00376185" w:rsidRPr="00376185">
        <w:rPr>
          <w:rFonts w:ascii="Calibri" w:hAnsi="Calibri" w:cs="Courier"/>
        </w:rPr>
        <w:t>close coordination with the Steering</w:t>
      </w:r>
      <w:r w:rsidR="00376185">
        <w:rPr>
          <w:rFonts w:ascii="Calibri" w:hAnsi="Calibri" w:cs="Courier"/>
        </w:rPr>
        <w:t xml:space="preserve"> </w:t>
      </w:r>
      <w:r w:rsidR="00376185" w:rsidRPr="00376185">
        <w:rPr>
          <w:rFonts w:ascii="Calibri" w:hAnsi="Calibri" w:cs="Courier"/>
        </w:rPr>
        <w:t>Committee and the Working Groups</w:t>
      </w:r>
      <w:r w:rsidR="00376185">
        <w:rPr>
          <w:rFonts w:ascii="Calibri" w:hAnsi="Calibri" w:cs="Courier"/>
        </w:rPr>
        <w:t>.</w:t>
      </w:r>
    </w:p>
    <w:p w14:paraId="74E385E3" w14:textId="77777777" w:rsidR="006B100E" w:rsidRPr="00376185" w:rsidRDefault="006B100E" w:rsidP="009E43AD">
      <w:pPr>
        <w:spacing w:after="0"/>
        <w:jc w:val="both"/>
        <w:rPr>
          <w:rFonts w:ascii="Calibri" w:hAnsi="Calibri" w:cs="Courier"/>
          <w:sz w:val="24"/>
          <w:szCs w:val="24"/>
        </w:rPr>
      </w:pPr>
    </w:p>
    <w:p w14:paraId="74E385E4" w14:textId="77777777" w:rsidR="006B100E" w:rsidRDefault="00376185" w:rsidP="009E43AD">
      <w:pPr>
        <w:spacing w:after="0"/>
        <w:jc w:val="both"/>
      </w:pPr>
      <w:r w:rsidRPr="00376185">
        <w:rPr>
          <w:b/>
          <w:sz w:val="24"/>
          <w:szCs w:val="24"/>
          <w:u w:val="single"/>
        </w:rPr>
        <w:t xml:space="preserve">Leadership </w:t>
      </w:r>
      <w:r>
        <w:rPr>
          <w:b/>
          <w:sz w:val="24"/>
          <w:szCs w:val="24"/>
          <w:u w:val="single"/>
        </w:rPr>
        <w:t>C</w:t>
      </w:r>
      <w:r w:rsidRPr="00376185">
        <w:rPr>
          <w:b/>
          <w:sz w:val="24"/>
          <w:szCs w:val="24"/>
          <w:u w:val="single"/>
        </w:rPr>
        <w:t>ouncil:</w:t>
      </w:r>
      <w:r w:rsidRPr="00376185">
        <w:rPr>
          <w:b/>
        </w:rPr>
        <w:t xml:space="preserve"> </w:t>
      </w:r>
      <w:r>
        <w:t>M</w:t>
      </w:r>
      <w:r w:rsidRPr="00376185">
        <w:t xml:space="preserve">embers of the Leadership Council are: Dr. Seth Berkley, CEO, GAVI Alliance; Dr. Margaret Chan, Director General, WHO; Dr. Christopher Elias, President, Global Development Program, Bill and Melinda Gates Foundation; Dr. Anthony </w:t>
      </w:r>
      <w:proofErr w:type="spellStart"/>
      <w:r w:rsidRPr="00376185">
        <w:t>Fauci</w:t>
      </w:r>
      <w:proofErr w:type="spellEnd"/>
      <w:r w:rsidRPr="00376185">
        <w:t xml:space="preserve">, Director, US NIAID; Dr. Anthony Lake, Executive Director, UNICEF; and Ms. Joy </w:t>
      </w:r>
      <w:proofErr w:type="spellStart"/>
      <w:r w:rsidRPr="00376185">
        <w:t>Phumaphi</w:t>
      </w:r>
      <w:proofErr w:type="spellEnd"/>
      <w:r w:rsidRPr="00376185">
        <w:t>, Executive Secretary, African Leaders Malaria Alliance.</w:t>
      </w:r>
    </w:p>
    <w:p w14:paraId="74E385E5" w14:textId="77777777" w:rsidR="00376185" w:rsidRDefault="00376185" w:rsidP="009E43AD">
      <w:pPr>
        <w:spacing w:after="0"/>
        <w:jc w:val="both"/>
      </w:pPr>
    </w:p>
    <w:p w14:paraId="74E385E6" w14:textId="77777777" w:rsidR="00376185" w:rsidRDefault="00376185" w:rsidP="009E43AD">
      <w:pPr>
        <w:spacing w:after="0"/>
        <w:jc w:val="both"/>
        <w:rPr>
          <w:rFonts w:ascii="Calibri" w:hAnsi="Calibri" w:cs="Courier"/>
        </w:rPr>
      </w:pPr>
      <w:r>
        <w:rPr>
          <w:rFonts w:ascii="Calibri" w:hAnsi="Calibri" w:cs="Courier"/>
          <w:b/>
          <w:sz w:val="24"/>
          <w:szCs w:val="24"/>
          <w:u w:val="single"/>
        </w:rPr>
        <w:t>Steering Committee:</w:t>
      </w:r>
      <w:r>
        <w:rPr>
          <w:rFonts w:ascii="Calibri" w:hAnsi="Calibri" w:cs="Courier"/>
          <w:b/>
          <w:sz w:val="24"/>
          <w:szCs w:val="24"/>
        </w:rPr>
        <w:t xml:space="preserve"> </w:t>
      </w:r>
      <w:r w:rsidRPr="00376185">
        <w:rPr>
          <w:rFonts w:ascii="Calibri" w:hAnsi="Calibri" w:cs="Courier"/>
        </w:rPr>
        <w:t xml:space="preserve">The </w:t>
      </w:r>
      <w:r>
        <w:rPr>
          <w:rFonts w:ascii="Calibri" w:hAnsi="Calibri" w:cs="Courier"/>
        </w:rPr>
        <w:t xml:space="preserve">steering committee was </w:t>
      </w:r>
      <w:r w:rsidRPr="00376185">
        <w:rPr>
          <w:rFonts w:ascii="Calibri" w:hAnsi="Calibri" w:cs="Courier"/>
        </w:rPr>
        <w:t>co-chaired by Prof. Ped</w:t>
      </w:r>
      <w:r>
        <w:rPr>
          <w:rFonts w:ascii="Calibri" w:hAnsi="Calibri" w:cs="Courier"/>
        </w:rPr>
        <w:t xml:space="preserve">ro Alonso, Director, </w:t>
      </w:r>
      <w:r w:rsidRPr="00376185">
        <w:rPr>
          <w:rFonts w:ascii="Calibri" w:hAnsi="Calibri" w:cs="Courier"/>
        </w:rPr>
        <w:t>Institute for Global Health of Barc</w:t>
      </w:r>
      <w:r>
        <w:rPr>
          <w:rFonts w:ascii="Calibri" w:hAnsi="Calibri" w:cs="Courier"/>
        </w:rPr>
        <w:t xml:space="preserve">elona and Dr. </w:t>
      </w:r>
      <w:proofErr w:type="spellStart"/>
      <w:r>
        <w:rPr>
          <w:rFonts w:ascii="Calibri" w:hAnsi="Calibri" w:cs="Courier"/>
        </w:rPr>
        <w:t>Ciro</w:t>
      </w:r>
      <w:proofErr w:type="spellEnd"/>
      <w:r>
        <w:rPr>
          <w:rFonts w:ascii="Calibri" w:hAnsi="Calibri" w:cs="Courier"/>
        </w:rPr>
        <w:t xml:space="preserve"> de </w:t>
      </w:r>
      <w:proofErr w:type="spellStart"/>
      <w:r>
        <w:rPr>
          <w:rFonts w:ascii="Calibri" w:hAnsi="Calibri" w:cs="Courier"/>
        </w:rPr>
        <w:t>Quadros</w:t>
      </w:r>
      <w:proofErr w:type="spellEnd"/>
      <w:r>
        <w:rPr>
          <w:rFonts w:ascii="Calibri" w:hAnsi="Calibri" w:cs="Courier"/>
        </w:rPr>
        <w:t xml:space="preserve">, Executive Vice President, </w:t>
      </w:r>
      <w:r w:rsidRPr="00376185">
        <w:rPr>
          <w:rFonts w:ascii="Calibri" w:hAnsi="Calibri" w:cs="Courier"/>
        </w:rPr>
        <w:t xml:space="preserve">Sabin </w:t>
      </w:r>
      <w:proofErr w:type="gramStart"/>
      <w:r w:rsidRPr="00376185">
        <w:rPr>
          <w:rFonts w:ascii="Calibri" w:hAnsi="Calibri" w:cs="Courier"/>
        </w:rPr>
        <w:t>Vaccine</w:t>
      </w:r>
      <w:proofErr w:type="gramEnd"/>
      <w:r w:rsidRPr="00376185">
        <w:rPr>
          <w:rFonts w:ascii="Calibri" w:hAnsi="Calibri" w:cs="Courier"/>
        </w:rPr>
        <w:t xml:space="preserve"> Institute</w:t>
      </w:r>
      <w:r>
        <w:rPr>
          <w:rFonts w:ascii="Calibri" w:hAnsi="Calibri" w:cs="Courier"/>
        </w:rPr>
        <w:t>.</w:t>
      </w:r>
    </w:p>
    <w:p w14:paraId="74E385E7" w14:textId="77777777" w:rsidR="00376185" w:rsidRDefault="00376185" w:rsidP="009E43AD">
      <w:pPr>
        <w:spacing w:after="0"/>
        <w:jc w:val="both"/>
        <w:rPr>
          <w:rFonts w:ascii="Calibri" w:hAnsi="Calibri" w:cs="Courier"/>
        </w:rPr>
      </w:pPr>
    </w:p>
    <w:p w14:paraId="74E385E8" w14:textId="77777777" w:rsidR="00376185" w:rsidRPr="009E43AD" w:rsidRDefault="00376185" w:rsidP="009E43AD">
      <w:pPr>
        <w:spacing w:after="0"/>
        <w:jc w:val="both"/>
      </w:pPr>
      <w:r w:rsidRPr="005D4DD8">
        <w:rPr>
          <w:szCs w:val="24"/>
        </w:rPr>
        <w:t xml:space="preserve">Members of the Steering Committee of the Decade of Vaccines Collaboration include: Dr. T. Jacob John, Professor and Head,  Departments of Clinical Microbiology and Virology, Christian Medical College, Vellore, India (Retired); Dr. </w:t>
      </w:r>
      <w:proofErr w:type="spellStart"/>
      <w:r w:rsidRPr="005D4DD8">
        <w:rPr>
          <w:szCs w:val="24"/>
        </w:rPr>
        <w:t>Zulfiqar</w:t>
      </w:r>
      <w:proofErr w:type="spellEnd"/>
      <w:r w:rsidRPr="005D4DD8">
        <w:rPr>
          <w:szCs w:val="24"/>
        </w:rPr>
        <w:t xml:space="preserve"> </w:t>
      </w:r>
      <w:proofErr w:type="spellStart"/>
      <w:r w:rsidRPr="005D4DD8">
        <w:rPr>
          <w:szCs w:val="24"/>
        </w:rPr>
        <w:t>Bhutta</w:t>
      </w:r>
      <w:proofErr w:type="spellEnd"/>
      <w:r w:rsidRPr="005D4DD8">
        <w:rPr>
          <w:szCs w:val="24"/>
        </w:rPr>
        <w:t xml:space="preserve">, Founding Chair,  Division of Women and Child Health, Aga Khan University; Dr. Lola Dare, CEO, The Centre for Health Sciences Training, Research and Development; Ms. Helen Evans,  Deputy CEO, GAVI Alliance; Dr. Lee Hall, Chief,  Parasitology and International Programs Branch, Division of Microbiology and Infectious Diseases, National Institute of Allergy and Infectious Diseases (NIAID); Dr. Lucky </w:t>
      </w:r>
      <w:proofErr w:type="spellStart"/>
      <w:r w:rsidRPr="005D4DD8">
        <w:rPr>
          <w:szCs w:val="24"/>
        </w:rPr>
        <w:t>Slamet</w:t>
      </w:r>
      <w:proofErr w:type="spellEnd"/>
      <w:r w:rsidRPr="005D4DD8">
        <w:rPr>
          <w:szCs w:val="24"/>
        </w:rPr>
        <w:t xml:space="preserve">,  Deputy for Therapeutic Products, Narcotic, Psychotropic and Addictive Substance Control, National Agency of Drug and Food Control, Indonesia; Dr. Anne </w:t>
      </w:r>
      <w:proofErr w:type="spellStart"/>
      <w:r w:rsidRPr="005D4DD8">
        <w:rPr>
          <w:szCs w:val="24"/>
        </w:rPr>
        <w:t>Schuchat</w:t>
      </w:r>
      <w:proofErr w:type="spellEnd"/>
      <w:r w:rsidRPr="005D4DD8">
        <w:rPr>
          <w:szCs w:val="24"/>
        </w:rPr>
        <w:t xml:space="preserve">; Director,  National Center for Immunization and Respiratory Diseases, Centers for Disease Control (CDC); Dr. Gina </w:t>
      </w:r>
      <w:proofErr w:type="spellStart"/>
      <w:r w:rsidRPr="005D4DD8">
        <w:rPr>
          <w:szCs w:val="24"/>
        </w:rPr>
        <w:t>Tambini</w:t>
      </w:r>
      <w:proofErr w:type="spellEnd"/>
      <w:r w:rsidRPr="005D4DD8">
        <w:rPr>
          <w:szCs w:val="24"/>
        </w:rPr>
        <w:t xml:space="preserve">, Area Manager,  Family and Community Health, Pan American Health Organization (PAHO); Dr. Nicole Bates,  Senior Program Officer, Global Health Policy and Advocacy, Bill &amp; Melinda Gates Foundation; Dr. Peter A. Singer,  Director,  Sandra </w:t>
      </w:r>
      <w:proofErr w:type="spellStart"/>
      <w:r w:rsidRPr="005D4DD8">
        <w:rPr>
          <w:szCs w:val="24"/>
        </w:rPr>
        <w:t>Rotman</w:t>
      </w:r>
      <w:proofErr w:type="spellEnd"/>
      <w:r w:rsidRPr="005D4DD8">
        <w:rPr>
          <w:szCs w:val="24"/>
        </w:rPr>
        <w:t xml:space="preserve"> Centre for Global Health, University Health Network and University of Toronto; Dr. Jean-Marie </w:t>
      </w:r>
      <w:proofErr w:type="spellStart"/>
      <w:r w:rsidRPr="005D4DD8">
        <w:rPr>
          <w:szCs w:val="24"/>
        </w:rPr>
        <w:t>Okwo-Bele</w:t>
      </w:r>
      <w:proofErr w:type="spellEnd"/>
      <w:r w:rsidRPr="005D4DD8">
        <w:rPr>
          <w:szCs w:val="24"/>
        </w:rPr>
        <w:t xml:space="preserve">;  Director, World Health Organization (WHO) Department of Immunization, Vaccines and Biologicals; Dr. Jos </w:t>
      </w:r>
      <w:proofErr w:type="spellStart"/>
      <w:r w:rsidRPr="005D4DD8">
        <w:rPr>
          <w:szCs w:val="24"/>
        </w:rPr>
        <w:t>Vandelaer</w:t>
      </w:r>
      <w:proofErr w:type="spellEnd"/>
      <w:r w:rsidRPr="005D4DD8">
        <w:rPr>
          <w:szCs w:val="24"/>
        </w:rPr>
        <w:t xml:space="preserve">, Chief, Immunization, </w:t>
      </w:r>
      <w:proofErr w:type="spellStart"/>
      <w:r w:rsidRPr="005D4DD8">
        <w:rPr>
          <w:szCs w:val="24"/>
        </w:rPr>
        <w:t>Programme</w:t>
      </w:r>
      <w:proofErr w:type="spellEnd"/>
      <w:r w:rsidRPr="005D4DD8">
        <w:rPr>
          <w:szCs w:val="24"/>
        </w:rPr>
        <w:t xml:space="preserve"> Division, UNICEF; Prof. David Salisbury,  Director of Immunization, United Kingdom Department of Health; Dr. Orin Levine, Executive Director, International Vaccine Access Center, Johns Hopkins Bloomberg School of Public Health; and Ms. Sandy </w:t>
      </w:r>
      <w:proofErr w:type="spellStart"/>
      <w:r w:rsidRPr="005D4DD8">
        <w:rPr>
          <w:szCs w:val="24"/>
        </w:rPr>
        <w:t>Wrobel</w:t>
      </w:r>
      <w:proofErr w:type="spellEnd"/>
      <w:r w:rsidRPr="005D4DD8">
        <w:rPr>
          <w:szCs w:val="24"/>
        </w:rPr>
        <w:t>, CEO and Managing Director, Applied Strategies</w:t>
      </w:r>
      <w:r>
        <w:rPr>
          <w:szCs w:val="24"/>
        </w:rPr>
        <w:t>.</w:t>
      </w:r>
    </w:p>
    <w:sectPr w:rsidR="00376185" w:rsidRPr="009E43AD" w:rsidSect="00E675BC">
      <w:headerReference w:type="default" r:id="rId12"/>
      <w:pgSz w:w="12240" w:h="15840"/>
      <w:pgMar w:top="198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385EB" w14:textId="77777777" w:rsidR="00697337" w:rsidRDefault="00697337" w:rsidP="00E675BC">
      <w:pPr>
        <w:spacing w:after="0" w:line="240" w:lineRule="auto"/>
      </w:pPr>
      <w:r>
        <w:separator/>
      </w:r>
    </w:p>
  </w:endnote>
  <w:endnote w:type="continuationSeparator" w:id="0">
    <w:p w14:paraId="74E385EC" w14:textId="77777777" w:rsidR="00697337" w:rsidRDefault="00697337" w:rsidP="00E67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61002A87" w:usb1="80000000" w:usb2="00000008" w:usb3="00000000" w:csb0="000101F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385E9" w14:textId="77777777" w:rsidR="00697337" w:rsidRDefault="00697337" w:rsidP="00E675BC">
      <w:pPr>
        <w:spacing w:after="0" w:line="240" w:lineRule="auto"/>
      </w:pPr>
      <w:r>
        <w:separator/>
      </w:r>
    </w:p>
  </w:footnote>
  <w:footnote w:type="continuationSeparator" w:id="0">
    <w:p w14:paraId="74E385EA" w14:textId="77777777" w:rsidR="00697337" w:rsidRDefault="00697337" w:rsidP="00E67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385ED" w14:textId="77777777" w:rsidR="00E675BC" w:rsidRDefault="00E675BC">
    <w:pPr>
      <w:pStyle w:val="Header"/>
    </w:pPr>
    <w:r w:rsidRPr="00E675BC">
      <w:rPr>
        <w:noProof/>
      </w:rPr>
      <w:drawing>
        <wp:anchor distT="0" distB="0" distL="114300" distR="114300" simplePos="0" relativeHeight="251659264" behindDoc="1" locked="0" layoutInCell="1" allowOverlap="1" wp14:anchorId="74E385EE" wp14:editId="74E385EF">
          <wp:simplePos x="0" y="0"/>
          <wp:positionH relativeFrom="column">
            <wp:posOffset>-104775</wp:posOffset>
          </wp:positionH>
          <wp:positionV relativeFrom="paragraph">
            <wp:posOffset>-457200</wp:posOffset>
          </wp:positionV>
          <wp:extent cx="3914775" cy="1304925"/>
          <wp:effectExtent l="19050" t="0" r="9525" b="0"/>
          <wp:wrapNone/>
          <wp:docPr id="1" name="Picture 1" descr="K:\Communications\DoV Materials\Logo\Low r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ommunications\DoV Materials\Logo\Low res logo.jpg"/>
                  <pic:cNvPicPr>
                    <a:picLocks noChangeAspect="1" noChangeArrowheads="1"/>
                  </pic:cNvPicPr>
                </pic:nvPicPr>
                <pic:blipFill>
                  <a:blip r:embed="rId1" cstate="print"/>
                  <a:srcRect/>
                  <a:stretch>
                    <a:fillRect/>
                  </a:stretch>
                </pic:blipFill>
                <pic:spPr bwMode="auto">
                  <a:xfrm>
                    <a:off x="0" y="0"/>
                    <a:ext cx="3914775" cy="13049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1606F"/>
    <w:multiLevelType w:val="hybridMultilevel"/>
    <w:tmpl w:val="7E96D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738C2"/>
    <w:multiLevelType w:val="hybridMultilevel"/>
    <w:tmpl w:val="43EAE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52131"/>
    <w:multiLevelType w:val="hybridMultilevel"/>
    <w:tmpl w:val="340AA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D0BB2"/>
    <w:multiLevelType w:val="hybridMultilevel"/>
    <w:tmpl w:val="BD329E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286E80"/>
    <w:multiLevelType w:val="hybridMultilevel"/>
    <w:tmpl w:val="E2FEE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B465BA"/>
    <w:multiLevelType w:val="hybridMultilevel"/>
    <w:tmpl w:val="D806D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3C3E3C"/>
    <w:multiLevelType w:val="hybridMultilevel"/>
    <w:tmpl w:val="A560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902CEC"/>
    <w:multiLevelType w:val="hybridMultilevel"/>
    <w:tmpl w:val="F3107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694CC7"/>
    <w:multiLevelType w:val="hybridMultilevel"/>
    <w:tmpl w:val="749AC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FA4B0A"/>
    <w:multiLevelType w:val="hybridMultilevel"/>
    <w:tmpl w:val="E4BEC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BF141E"/>
    <w:multiLevelType w:val="hybridMultilevel"/>
    <w:tmpl w:val="EC38B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694CD6"/>
    <w:multiLevelType w:val="hybridMultilevel"/>
    <w:tmpl w:val="FE9434FC"/>
    <w:lvl w:ilvl="0" w:tplc="33C68F92">
      <w:start w:val="1"/>
      <w:numFmt w:val="bullet"/>
      <w:lvlText w:val="–"/>
      <w:lvlJc w:val="left"/>
      <w:pPr>
        <w:tabs>
          <w:tab w:val="num" w:pos="720"/>
        </w:tabs>
        <w:ind w:left="720" w:hanging="360"/>
      </w:pPr>
      <w:rPr>
        <w:rFonts w:ascii="Arial" w:hAnsi="Arial" w:hint="default"/>
      </w:rPr>
    </w:lvl>
    <w:lvl w:ilvl="1" w:tplc="4D26259C">
      <w:start w:val="1"/>
      <w:numFmt w:val="bullet"/>
      <w:lvlText w:val="–"/>
      <w:lvlJc w:val="left"/>
      <w:pPr>
        <w:tabs>
          <w:tab w:val="num" w:pos="1440"/>
        </w:tabs>
        <w:ind w:left="1440" w:hanging="360"/>
      </w:pPr>
      <w:rPr>
        <w:rFonts w:ascii="Arial" w:hAnsi="Arial" w:hint="default"/>
      </w:rPr>
    </w:lvl>
    <w:lvl w:ilvl="2" w:tplc="2AB821E0" w:tentative="1">
      <w:start w:val="1"/>
      <w:numFmt w:val="bullet"/>
      <w:lvlText w:val="–"/>
      <w:lvlJc w:val="left"/>
      <w:pPr>
        <w:tabs>
          <w:tab w:val="num" w:pos="2160"/>
        </w:tabs>
        <w:ind w:left="2160" w:hanging="360"/>
      </w:pPr>
      <w:rPr>
        <w:rFonts w:ascii="Arial" w:hAnsi="Arial" w:hint="default"/>
      </w:rPr>
    </w:lvl>
    <w:lvl w:ilvl="3" w:tplc="FBB4BA7C" w:tentative="1">
      <w:start w:val="1"/>
      <w:numFmt w:val="bullet"/>
      <w:lvlText w:val="–"/>
      <w:lvlJc w:val="left"/>
      <w:pPr>
        <w:tabs>
          <w:tab w:val="num" w:pos="2880"/>
        </w:tabs>
        <w:ind w:left="2880" w:hanging="360"/>
      </w:pPr>
      <w:rPr>
        <w:rFonts w:ascii="Arial" w:hAnsi="Arial" w:hint="default"/>
      </w:rPr>
    </w:lvl>
    <w:lvl w:ilvl="4" w:tplc="BBB232E4" w:tentative="1">
      <w:start w:val="1"/>
      <w:numFmt w:val="bullet"/>
      <w:lvlText w:val="–"/>
      <w:lvlJc w:val="left"/>
      <w:pPr>
        <w:tabs>
          <w:tab w:val="num" w:pos="3600"/>
        </w:tabs>
        <w:ind w:left="3600" w:hanging="360"/>
      </w:pPr>
      <w:rPr>
        <w:rFonts w:ascii="Arial" w:hAnsi="Arial" w:hint="default"/>
      </w:rPr>
    </w:lvl>
    <w:lvl w:ilvl="5" w:tplc="D278F2F6" w:tentative="1">
      <w:start w:val="1"/>
      <w:numFmt w:val="bullet"/>
      <w:lvlText w:val="–"/>
      <w:lvlJc w:val="left"/>
      <w:pPr>
        <w:tabs>
          <w:tab w:val="num" w:pos="4320"/>
        </w:tabs>
        <w:ind w:left="4320" w:hanging="360"/>
      </w:pPr>
      <w:rPr>
        <w:rFonts w:ascii="Arial" w:hAnsi="Arial" w:hint="default"/>
      </w:rPr>
    </w:lvl>
    <w:lvl w:ilvl="6" w:tplc="5CA6E64C" w:tentative="1">
      <w:start w:val="1"/>
      <w:numFmt w:val="bullet"/>
      <w:lvlText w:val="–"/>
      <w:lvlJc w:val="left"/>
      <w:pPr>
        <w:tabs>
          <w:tab w:val="num" w:pos="5040"/>
        </w:tabs>
        <w:ind w:left="5040" w:hanging="360"/>
      </w:pPr>
      <w:rPr>
        <w:rFonts w:ascii="Arial" w:hAnsi="Arial" w:hint="default"/>
      </w:rPr>
    </w:lvl>
    <w:lvl w:ilvl="7" w:tplc="9FC6E526" w:tentative="1">
      <w:start w:val="1"/>
      <w:numFmt w:val="bullet"/>
      <w:lvlText w:val="–"/>
      <w:lvlJc w:val="left"/>
      <w:pPr>
        <w:tabs>
          <w:tab w:val="num" w:pos="5760"/>
        </w:tabs>
        <w:ind w:left="5760" w:hanging="360"/>
      </w:pPr>
      <w:rPr>
        <w:rFonts w:ascii="Arial" w:hAnsi="Arial" w:hint="default"/>
      </w:rPr>
    </w:lvl>
    <w:lvl w:ilvl="8" w:tplc="74F69B12" w:tentative="1">
      <w:start w:val="1"/>
      <w:numFmt w:val="bullet"/>
      <w:lvlText w:val="–"/>
      <w:lvlJc w:val="left"/>
      <w:pPr>
        <w:tabs>
          <w:tab w:val="num" w:pos="6480"/>
        </w:tabs>
        <w:ind w:left="6480" w:hanging="360"/>
      </w:pPr>
      <w:rPr>
        <w:rFonts w:ascii="Arial" w:hAnsi="Arial" w:hint="default"/>
      </w:rPr>
    </w:lvl>
  </w:abstractNum>
  <w:abstractNum w:abstractNumId="12">
    <w:nsid w:val="4B95610A"/>
    <w:multiLevelType w:val="hybridMultilevel"/>
    <w:tmpl w:val="F7C01C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5DEF5475"/>
    <w:multiLevelType w:val="hybridMultilevel"/>
    <w:tmpl w:val="8F86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693D5A"/>
    <w:multiLevelType w:val="hybridMultilevel"/>
    <w:tmpl w:val="ECC011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8E37C9"/>
    <w:multiLevelType w:val="hybridMultilevel"/>
    <w:tmpl w:val="C868D44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BBF5B5B"/>
    <w:multiLevelType w:val="hybridMultilevel"/>
    <w:tmpl w:val="D5443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3E7251"/>
    <w:multiLevelType w:val="hybridMultilevel"/>
    <w:tmpl w:val="A0D0B3D2"/>
    <w:lvl w:ilvl="0" w:tplc="1DC6AE22">
      <w:start w:val="1"/>
      <w:numFmt w:val="bullet"/>
      <w:lvlText w:val="–"/>
      <w:lvlJc w:val="left"/>
      <w:pPr>
        <w:tabs>
          <w:tab w:val="num" w:pos="720"/>
        </w:tabs>
        <w:ind w:left="720" w:hanging="360"/>
      </w:pPr>
      <w:rPr>
        <w:rFonts w:ascii="Arial" w:hAnsi="Arial" w:hint="default"/>
      </w:rPr>
    </w:lvl>
    <w:lvl w:ilvl="1" w:tplc="E0E2D102">
      <w:start w:val="1"/>
      <w:numFmt w:val="bullet"/>
      <w:lvlText w:val="–"/>
      <w:lvlJc w:val="left"/>
      <w:pPr>
        <w:tabs>
          <w:tab w:val="num" w:pos="1440"/>
        </w:tabs>
        <w:ind w:left="1440" w:hanging="360"/>
      </w:pPr>
      <w:rPr>
        <w:rFonts w:ascii="Arial" w:hAnsi="Arial" w:hint="default"/>
      </w:rPr>
    </w:lvl>
    <w:lvl w:ilvl="2" w:tplc="C802A048" w:tentative="1">
      <w:start w:val="1"/>
      <w:numFmt w:val="bullet"/>
      <w:lvlText w:val="–"/>
      <w:lvlJc w:val="left"/>
      <w:pPr>
        <w:tabs>
          <w:tab w:val="num" w:pos="2160"/>
        </w:tabs>
        <w:ind w:left="2160" w:hanging="360"/>
      </w:pPr>
      <w:rPr>
        <w:rFonts w:ascii="Arial" w:hAnsi="Arial" w:hint="default"/>
      </w:rPr>
    </w:lvl>
    <w:lvl w:ilvl="3" w:tplc="795C4A6E" w:tentative="1">
      <w:start w:val="1"/>
      <w:numFmt w:val="bullet"/>
      <w:lvlText w:val="–"/>
      <w:lvlJc w:val="left"/>
      <w:pPr>
        <w:tabs>
          <w:tab w:val="num" w:pos="2880"/>
        </w:tabs>
        <w:ind w:left="2880" w:hanging="360"/>
      </w:pPr>
      <w:rPr>
        <w:rFonts w:ascii="Arial" w:hAnsi="Arial" w:hint="default"/>
      </w:rPr>
    </w:lvl>
    <w:lvl w:ilvl="4" w:tplc="DD386D58" w:tentative="1">
      <w:start w:val="1"/>
      <w:numFmt w:val="bullet"/>
      <w:lvlText w:val="–"/>
      <w:lvlJc w:val="left"/>
      <w:pPr>
        <w:tabs>
          <w:tab w:val="num" w:pos="3600"/>
        </w:tabs>
        <w:ind w:left="3600" w:hanging="360"/>
      </w:pPr>
      <w:rPr>
        <w:rFonts w:ascii="Arial" w:hAnsi="Arial" w:hint="default"/>
      </w:rPr>
    </w:lvl>
    <w:lvl w:ilvl="5" w:tplc="6214F340" w:tentative="1">
      <w:start w:val="1"/>
      <w:numFmt w:val="bullet"/>
      <w:lvlText w:val="–"/>
      <w:lvlJc w:val="left"/>
      <w:pPr>
        <w:tabs>
          <w:tab w:val="num" w:pos="4320"/>
        </w:tabs>
        <w:ind w:left="4320" w:hanging="360"/>
      </w:pPr>
      <w:rPr>
        <w:rFonts w:ascii="Arial" w:hAnsi="Arial" w:hint="default"/>
      </w:rPr>
    </w:lvl>
    <w:lvl w:ilvl="6" w:tplc="9BE6581C" w:tentative="1">
      <w:start w:val="1"/>
      <w:numFmt w:val="bullet"/>
      <w:lvlText w:val="–"/>
      <w:lvlJc w:val="left"/>
      <w:pPr>
        <w:tabs>
          <w:tab w:val="num" w:pos="5040"/>
        </w:tabs>
        <w:ind w:left="5040" w:hanging="360"/>
      </w:pPr>
      <w:rPr>
        <w:rFonts w:ascii="Arial" w:hAnsi="Arial" w:hint="default"/>
      </w:rPr>
    </w:lvl>
    <w:lvl w:ilvl="7" w:tplc="9CA635BE" w:tentative="1">
      <w:start w:val="1"/>
      <w:numFmt w:val="bullet"/>
      <w:lvlText w:val="–"/>
      <w:lvlJc w:val="left"/>
      <w:pPr>
        <w:tabs>
          <w:tab w:val="num" w:pos="5760"/>
        </w:tabs>
        <w:ind w:left="5760" w:hanging="360"/>
      </w:pPr>
      <w:rPr>
        <w:rFonts w:ascii="Arial" w:hAnsi="Arial" w:hint="default"/>
      </w:rPr>
    </w:lvl>
    <w:lvl w:ilvl="8" w:tplc="3548760E" w:tentative="1">
      <w:start w:val="1"/>
      <w:numFmt w:val="bullet"/>
      <w:lvlText w:val="–"/>
      <w:lvlJc w:val="left"/>
      <w:pPr>
        <w:tabs>
          <w:tab w:val="num" w:pos="6480"/>
        </w:tabs>
        <w:ind w:left="6480" w:hanging="360"/>
      </w:pPr>
      <w:rPr>
        <w:rFonts w:ascii="Arial" w:hAnsi="Arial" w:hint="default"/>
      </w:rPr>
    </w:lvl>
  </w:abstractNum>
  <w:abstractNum w:abstractNumId="18">
    <w:nsid w:val="73043403"/>
    <w:multiLevelType w:val="hybridMultilevel"/>
    <w:tmpl w:val="206629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44F4A42"/>
    <w:multiLevelType w:val="hybridMultilevel"/>
    <w:tmpl w:val="395CE292"/>
    <w:lvl w:ilvl="0" w:tplc="7660A9E8">
      <w:start w:val="1"/>
      <w:numFmt w:val="bullet"/>
      <w:lvlText w:val="–"/>
      <w:lvlJc w:val="left"/>
      <w:pPr>
        <w:tabs>
          <w:tab w:val="num" w:pos="720"/>
        </w:tabs>
        <w:ind w:left="720" w:hanging="360"/>
      </w:pPr>
      <w:rPr>
        <w:rFonts w:ascii="Arial" w:hAnsi="Arial" w:hint="default"/>
      </w:rPr>
    </w:lvl>
    <w:lvl w:ilvl="1" w:tplc="CE60E9E8">
      <w:start w:val="1"/>
      <w:numFmt w:val="bullet"/>
      <w:lvlText w:val="–"/>
      <w:lvlJc w:val="left"/>
      <w:pPr>
        <w:tabs>
          <w:tab w:val="num" w:pos="1440"/>
        </w:tabs>
        <w:ind w:left="1440" w:hanging="360"/>
      </w:pPr>
      <w:rPr>
        <w:rFonts w:ascii="Arial" w:hAnsi="Arial" w:hint="default"/>
      </w:rPr>
    </w:lvl>
    <w:lvl w:ilvl="2" w:tplc="12FEF4E0" w:tentative="1">
      <w:start w:val="1"/>
      <w:numFmt w:val="bullet"/>
      <w:lvlText w:val="–"/>
      <w:lvlJc w:val="left"/>
      <w:pPr>
        <w:tabs>
          <w:tab w:val="num" w:pos="2160"/>
        </w:tabs>
        <w:ind w:left="2160" w:hanging="360"/>
      </w:pPr>
      <w:rPr>
        <w:rFonts w:ascii="Arial" w:hAnsi="Arial" w:hint="default"/>
      </w:rPr>
    </w:lvl>
    <w:lvl w:ilvl="3" w:tplc="C2D28BF4" w:tentative="1">
      <w:start w:val="1"/>
      <w:numFmt w:val="bullet"/>
      <w:lvlText w:val="–"/>
      <w:lvlJc w:val="left"/>
      <w:pPr>
        <w:tabs>
          <w:tab w:val="num" w:pos="2880"/>
        </w:tabs>
        <w:ind w:left="2880" w:hanging="360"/>
      </w:pPr>
      <w:rPr>
        <w:rFonts w:ascii="Arial" w:hAnsi="Arial" w:hint="default"/>
      </w:rPr>
    </w:lvl>
    <w:lvl w:ilvl="4" w:tplc="88908112" w:tentative="1">
      <w:start w:val="1"/>
      <w:numFmt w:val="bullet"/>
      <w:lvlText w:val="–"/>
      <w:lvlJc w:val="left"/>
      <w:pPr>
        <w:tabs>
          <w:tab w:val="num" w:pos="3600"/>
        </w:tabs>
        <w:ind w:left="3600" w:hanging="360"/>
      </w:pPr>
      <w:rPr>
        <w:rFonts w:ascii="Arial" w:hAnsi="Arial" w:hint="default"/>
      </w:rPr>
    </w:lvl>
    <w:lvl w:ilvl="5" w:tplc="14B23AFC" w:tentative="1">
      <w:start w:val="1"/>
      <w:numFmt w:val="bullet"/>
      <w:lvlText w:val="–"/>
      <w:lvlJc w:val="left"/>
      <w:pPr>
        <w:tabs>
          <w:tab w:val="num" w:pos="4320"/>
        </w:tabs>
        <w:ind w:left="4320" w:hanging="360"/>
      </w:pPr>
      <w:rPr>
        <w:rFonts w:ascii="Arial" w:hAnsi="Arial" w:hint="default"/>
      </w:rPr>
    </w:lvl>
    <w:lvl w:ilvl="6" w:tplc="66A8CC64" w:tentative="1">
      <w:start w:val="1"/>
      <w:numFmt w:val="bullet"/>
      <w:lvlText w:val="–"/>
      <w:lvlJc w:val="left"/>
      <w:pPr>
        <w:tabs>
          <w:tab w:val="num" w:pos="5040"/>
        </w:tabs>
        <w:ind w:left="5040" w:hanging="360"/>
      </w:pPr>
      <w:rPr>
        <w:rFonts w:ascii="Arial" w:hAnsi="Arial" w:hint="default"/>
      </w:rPr>
    </w:lvl>
    <w:lvl w:ilvl="7" w:tplc="C68676EA" w:tentative="1">
      <w:start w:val="1"/>
      <w:numFmt w:val="bullet"/>
      <w:lvlText w:val="–"/>
      <w:lvlJc w:val="left"/>
      <w:pPr>
        <w:tabs>
          <w:tab w:val="num" w:pos="5760"/>
        </w:tabs>
        <w:ind w:left="5760" w:hanging="360"/>
      </w:pPr>
      <w:rPr>
        <w:rFonts w:ascii="Arial" w:hAnsi="Arial" w:hint="default"/>
      </w:rPr>
    </w:lvl>
    <w:lvl w:ilvl="8" w:tplc="78BC3EBE"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0"/>
  </w:num>
  <w:num w:numId="3">
    <w:abstractNumId w:val="14"/>
  </w:num>
  <w:num w:numId="4">
    <w:abstractNumId w:val="11"/>
  </w:num>
  <w:num w:numId="5">
    <w:abstractNumId w:val="17"/>
  </w:num>
  <w:num w:numId="6">
    <w:abstractNumId w:val="19"/>
  </w:num>
  <w:num w:numId="7">
    <w:abstractNumId w:val="12"/>
  </w:num>
  <w:num w:numId="8">
    <w:abstractNumId w:val="2"/>
  </w:num>
  <w:num w:numId="9">
    <w:abstractNumId w:val="6"/>
  </w:num>
  <w:num w:numId="10">
    <w:abstractNumId w:val="16"/>
  </w:num>
  <w:num w:numId="11">
    <w:abstractNumId w:val="10"/>
  </w:num>
  <w:num w:numId="12">
    <w:abstractNumId w:val="4"/>
  </w:num>
  <w:num w:numId="13">
    <w:abstractNumId w:val="9"/>
  </w:num>
  <w:num w:numId="14">
    <w:abstractNumId w:val="5"/>
  </w:num>
  <w:num w:numId="15">
    <w:abstractNumId w:val="13"/>
  </w:num>
  <w:num w:numId="16">
    <w:abstractNumId w:val="15"/>
  </w:num>
  <w:num w:numId="17">
    <w:abstractNumId w:val="8"/>
  </w:num>
  <w:num w:numId="18">
    <w:abstractNumId w:val="7"/>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791"/>
    <w:rsid w:val="0000761D"/>
    <w:rsid w:val="00090CC9"/>
    <w:rsid w:val="00091722"/>
    <w:rsid w:val="000F4800"/>
    <w:rsid w:val="001043DA"/>
    <w:rsid w:val="00134EFA"/>
    <w:rsid w:val="001539AD"/>
    <w:rsid w:val="001B1A96"/>
    <w:rsid w:val="001C4858"/>
    <w:rsid w:val="00222954"/>
    <w:rsid w:val="0023237D"/>
    <w:rsid w:val="002523C8"/>
    <w:rsid w:val="003245C9"/>
    <w:rsid w:val="00373D64"/>
    <w:rsid w:val="00376185"/>
    <w:rsid w:val="003B4903"/>
    <w:rsid w:val="0047708E"/>
    <w:rsid w:val="004A325B"/>
    <w:rsid w:val="004E21B2"/>
    <w:rsid w:val="004F745A"/>
    <w:rsid w:val="00553BEF"/>
    <w:rsid w:val="005A0185"/>
    <w:rsid w:val="005D4DD8"/>
    <w:rsid w:val="005E5037"/>
    <w:rsid w:val="00632222"/>
    <w:rsid w:val="00697337"/>
    <w:rsid w:val="006B100E"/>
    <w:rsid w:val="00723791"/>
    <w:rsid w:val="00731B68"/>
    <w:rsid w:val="00774049"/>
    <w:rsid w:val="007E7ABA"/>
    <w:rsid w:val="008312AB"/>
    <w:rsid w:val="00850F83"/>
    <w:rsid w:val="00881A6D"/>
    <w:rsid w:val="008D2372"/>
    <w:rsid w:val="0096251D"/>
    <w:rsid w:val="0099577D"/>
    <w:rsid w:val="009C1B6D"/>
    <w:rsid w:val="009C45FC"/>
    <w:rsid w:val="009E43AD"/>
    <w:rsid w:val="00A81532"/>
    <w:rsid w:val="00B84D10"/>
    <w:rsid w:val="00BF61FB"/>
    <w:rsid w:val="00C0378E"/>
    <w:rsid w:val="00C20364"/>
    <w:rsid w:val="00D22538"/>
    <w:rsid w:val="00D41513"/>
    <w:rsid w:val="00D43E35"/>
    <w:rsid w:val="00DC17B1"/>
    <w:rsid w:val="00DC463C"/>
    <w:rsid w:val="00DE2EDF"/>
    <w:rsid w:val="00E0426A"/>
    <w:rsid w:val="00E142F8"/>
    <w:rsid w:val="00E675BC"/>
    <w:rsid w:val="00F50F7F"/>
    <w:rsid w:val="00FA3E6B"/>
    <w:rsid w:val="00FB351B"/>
    <w:rsid w:val="00FE676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E385BC"/>
  <w15:docId w15:val="{CAB84814-6960-4AB8-A6D6-A06F22AB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E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7E7ABA"/>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1A7EBC"/>
    <w:rPr>
      <w:rFonts w:ascii="Lucida Grande" w:hAnsi="Lucida Grande"/>
      <w:sz w:val="18"/>
      <w:szCs w:val="18"/>
    </w:rPr>
  </w:style>
  <w:style w:type="paragraph" w:customStyle="1" w:styleId="Default">
    <w:name w:val="Default"/>
    <w:rsid w:val="0072379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Bullet List,FooterText,List Paragraph1,Colorful List Accent 1"/>
    <w:basedOn w:val="Normal"/>
    <w:link w:val="ListParagraphChar"/>
    <w:uiPriority w:val="34"/>
    <w:qFormat/>
    <w:rsid w:val="00723791"/>
    <w:pPr>
      <w:ind w:left="720"/>
      <w:contextualSpacing/>
    </w:pPr>
  </w:style>
  <w:style w:type="character" w:styleId="CommentReference">
    <w:name w:val="annotation reference"/>
    <w:basedOn w:val="DefaultParagraphFont"/>
    <w:uiPriority w:val="99"/>
    <w:semiHidden/>
    <w:unhideWhenUsed/>
    <w:rsid w:val="00D22538"/>
    <w:rPr>
      <w:sz w:val="16"/>
      <w:szCs w:val="16"/>
    </w:rPr>
  </w:style>
  <w:style w:type="paragraph" w:styleId="CommentText">
    <w:name w:val="annotation text"/>
    <w:basedOn w:val="Normal"/>
    <w:link w:val="CommentTextChar"/>
    <w:uiPriority w:val="99"/>
    <w:semiHidden/>
    <w:unhideWhenUsed/>
    <w:rsid w:val="00D22538"/>
    <w:pPr>
      <w:spacing w:line="240" w:lineRule="auto"/>
    </w:pPr>
    <w:rPr>
      <w:sz w:val="20"/>
      <w:szCs w:val="20"/>
    </w:rPr>
  </w:style>
  <w:style w:type="character" w:customStyle="1" w:styleId="CommentTextChar">
    <w:name w:val="Comment Text Char"/>
    <w:basedOn w:val="DefaultParagraphFont"/>
    <w:link w:val="CommentText"/>
    <w:uiPriority w:val="99"/>
    <w:semiHidden/>
    <w:rsid w:val="00D22538"/>
    <w:rPr>
      <w:sz w:val="20"/>
      <w:szCs w:val="20"/>
    </w:rPr>
  </w:style>
  <w:style w:type="character" w:customStyle="1" w:styleId="BalloonTextChar1">
    <w:name w:val="Balloon Text Char1"/>
    <w:basedOn w:val="DefaultParagraphFont"/>
    <w:link w:val="BalloonText"/>
    <w:uiPriority w:val="99"/>
    <w:semiHidden/>
    <w:rsid w:val="007E7AB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C45FC"/>
    <w:rPr>
      <w:b/>
      <w:bCs/>
    </w:rPr>
  </w:style>
  <w:style w:type="character" w:customStyle="1" w:styleId="CommentSubjectChar">
    <w:name w:val="Comment Subject Char"/>
    <w:basedOn w:val="CommentTextChar"/>
    <w:link w:val="CommentSubject"/>
    <w:uiPriority w:val="99"/>
    <w:semiHidden/>
    <w:rsid w:val="009C45FC"/>
    <w:rPr>
      <w:b/>
      <w:bCs/>
      <w:sz w:val="20"/>
      <w:szCs w:val="20"/>
    </w:rPr>
  </w:style>
  <w:style w:type="character" w:styleId="Strong">
    <w:name w:val="Strong"/>
    <w:basedOn w:val="DefaultParagraphFont"/>
    <w:uiPriority w:val="22"/>
    <w:qFormat/>
    <w:rsid w:val="0047708E"/>
    <w:rPr>
      <w:b/>
      <w:bCs/>
    </w:rPr>
  </w:style>
  <w:style w:type="paragraph" w:styleId="NoSpacing">
    <w:name w:val="No Spacing"/>
    <w:uiPriority w:val="1"/>
    <w:qFormat/>
    <w:rsid w:val="000F4800"/>
    <w:pPr>
      <w:spacing w:after="0" w:line="240" w:lineRule="auto"/>
    </w:pPr>
  </w:style>
  <w:style w:type="paragraph" w:styleId="Header">
    <w:name w:val="header"/>
    <w:basedOn w:val="Normal"/>
    <w:link w:val="HeaderChar"/>
    <w:uiPriority w:val="99"/>
    <w:unhideWhenUsed/>
    <w:rsid w:val="00E67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5BC"/>
  </w:style>
  <w:style w:type="paragraph" w:styleId="Footer">
    <w:name w:val="footer"/>
    <w:basedOn w:val="Normal"/>
    <w:link w:val="FooterChar"/>
    <w:uiPriority w:val="99"/>
    <w:semiHidden/>
    <w:unhideWhenUsed/>
    <w:rsid w:val="00E675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75BC"/>
  </w:style>
  <w:style w:type="character" w:customStyle="1" w:styleId="ListParagraphChar">
    <w:name w:val="List Paragraph Char"/>
    <w:aliases w:val="Bullet List Char,FooterText Char,List Paragraph1 Char,Colorful List Accent 1 Char"/>
    <w:basedOn w:val="DefaultParagraphFont"/>
    <w:link w:val="ListParagraph"/>
    <w:uiPriority w:val="34"/>
    <w:locked/>
    <w:rsid w:val="009E43AD"/>
  </w:style>
  <w:style w:type="character" w:styleId="Hyperlink">
    <w:name w:val="Hyperlink"/>
    <w:basedOn w:val="DefaultParagraphFont"/>
    <w:uiPriority w:val="99"/>
    <w:unhideWhenUsed/>
    <w:rsid w:val="009E43AD"/>
    <w:rPr>
      <w:color w:val="0000FF"/>
      <w:u w:val="single"/>
    </w:rPr>
  </w:style>
  <w:style w:type="character" w:styleId="FollowedHyperlink">
    <w:name w:val="FollowedHyperlink"/>
    <w:basedOn w:val="DefaultParagraphFont"/>
    <w:uiPriority w:val="99"/>
    <w:semiHidden/>
    <w:unhideWhenUsed/>
    <w:rsid w:val="00A815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124792">
      <w:bodyDiv w:val="1"/>
      <w:marLeft w:val="0"/>
      <w:marRight w:val="0"/>
      <w:marTop w:val="0"/>
      <w:marBottom w:val="0"/>
      <w:divBdr>
        <w:top w:val="none" w:sz="0" w:space="0" w:color="auto"/>
        <w:left w:val="none" w:sz="0" w:space="0" w:color="auto"/>
        <w:bottom w:val="none" w:sz="0" w:space="0" w:color="auto"/>
        <w:right w:val="none" w:sz="0" w:space="0" w:color="auto"/>
      </w:divBdr>
      <w:divsChild>
        <w:div w:id="702906327">
          <w:marLeft w:val="1440"/>
          <w:marRight w:val="0"/>
          <w:marTop w:val="96"/>
          <w:marBottom w:val="0"/>
          <w:divBdr>
            <w:top w:val="none" w:sz="0" w:space="0" w:color="auto"/>
            <w:left w:val="none" w:sz="0" w:space="0" w:color="auto"/>
            <w:bottom w:val="none" w:sz="0" w:space="0" w:color="auto"/>
            <w:right w:val="none" w:sz="0" w:space="0" w:color="auto"/>
          </w:divBdr>
        </w:div>
        <w:div w:id="2049139367">
          <w:marLeft w:val="1440"/>
          <w:marRight w:val="0"/>
          <w:marTop w:val="96"/>
          <w:marBottom w:val="0"/>
          <w:divBdr>
            <w:top w:val="none" w:sz="0" w:space="0" w:color="auto"/>
            <w:left w:val="none" w:sz="0" w:space="0" w:color="auto"/>
            <w:bottom w:val="none" w:sz="0" w:space="0" w:color="auto"/>
            <w:right w:val="none" w:sz="0" w:space="0" w:color="auto"/>
          </w:divBdr>
        </w:div>
        <w:div w:id="632712953">
          <w:marLeft w:val="1440"/>
          <w:marRight w:val="0"/>
          <w:marTop w:val="96"/>
          <w:marBottom w:val="0"/>
          <w:divBdr>
            <w:top w:val="none" w:sz="0" w:space="0" w:color="auto"/>
            <w:left w:val="none" w:sz="0" w:space="0" w:color="auto"/>
            <w:bottom w:val="none" w:sz="0" w:space="0" w:color="auto"/>
            <w:right w:val="none" w:sz="0" w:space="0" w:color="auto"/>
          </w:divBdr>
        </w:div>
        <w:div w:id="1555509410">
          <w:marLeft w:val="1440"/>
          <w:marRight w:val="0"/>
          <w:marTop w:val="96"/>
          <w:marBottom w:val="0"/>
          <w:divBdr>
            <w:top w:val="none" w:sz="0" w:space="0" w:color="auto"/>
            <w:left w:val="none" w:sz="0" w:space="0" w:color="auto"/>
            <w:bottom w:val="none" w:sz="0" w:space="0" w:color="auto"/>
            <w:right w:val="none" w:sz="0" w:space="0" w:color="auto"/>
          </w:divBdr>
        </w:div>
        <w:div w:id="176384844">
          <w:marLeft w:val="1440"/>
          <w:marRight w:val="0"/>
          <w:marTop w:val="96"/>
          <w:marBottom w:val="0"/>
          <w:divBdr>
            <w:top w:val="none" w:sz="0" w:space="0" w:color="auto"/>
            <w:left w:val="none" w:sz="0" w:space="0" w:color="auto"/>
            <w:bottom w:val="none" w:sz="0" w:space="0" w:color="auto"/>
            <w:right w:val="none" w:sz="0" w:space="0" w:color="auto"/>
          </w:divBdr>
        </w:div>
        <w:div w:id="1182236426">
          <w:marLeft w:val="1440"/>
          <w:marRight w:val="0"/>
          <w:marTop w:val="96"/>
          <w:marBottom w:val="0"/>
          <w:divBdr>
            <w:top w:val="none" w:sz="0" w:space="0" w:color="auto"/>
            <w:left w:val="none" w:sz="0" w:space="0" w:color="auto"/>
            <w:bottom w:val="none" w:sz="0" w:space="0" w:color="auto"/>
            <w:right w:val="none" w:sz="0" w:space="0" w:color="auto"/>
          </w:divBdr>
        </w:div>
        <w:div w:id="1447388238">
          <w:marLeft w:val="1440"/>
          <w:marRight w:val="0"/>
          <w:marTop w:val="96"/>
          <w:marBottom w:val="0"/>
          <w:divBdr>
            <w:top w:val="none" w:sz="0" w:space="0" w:color="auto"/>
            <w:left w:val="none" w:sz="0" w:space="0" w:color="auto"/>
            <w:bottom w:val="none" w:sz="0" w:space="0" w:color="auto"/>
            <w:right w:val="none" w:sz="0" w:space="0" w:color="auto"/>
          </w:divBdr>
        </w:div>
      </w:divsChild>
    </w:div>
    <w:div w:id="204960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s.who.int/gb/ebwha/pdf_files/WHA65/A65_R17-en.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3F191A3F861B4E8324765AA703741B" ma:contentTypeVersion="1" ma:contentTypeDescription="Create a new document." ma:contentTypeScope="" ma:versionID="6253f3bdf39de5fac58dcc8b5acf53d7">
  <xsd:schema xmlns:xsd="http://www.w3.org/2001/XMLSchema" xmlns:xs="http://www.w3.org/2001/XMLSchema" xmlns:p="http://schemas.microsoft.com/office/2006/metadata/properties" xmlns:ns3="7c0f34f7-2b6a-4878-a636-586f8901c50f" targetNamespace="http://schemas.microsoft.com/office/2006/metadata/properties" ma:root="true" ma:fieldsID="e800929a253970613c9bb4146cfed880" ns3:_="">
    <xsd:import namespace="7c0f34f7-2b6a-4878-a636-586f8901c50f"/>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f34f7-2b6a-4878-a636-586f8901c50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8DA2B-463A-4990-A3ED-AEA1BD3DCDE9}">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7c0f34f7-2b6a-4878-a636-586f8901c50f"/>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3D65A81B-AADF-484F-914C-622AEEE4348D}">
  <ds:schemaRefs>
    <ds:schemaRef ds:uri="http://schemas.microsoft.com/sharepoint/v3/contenttype/forms"/>
  </ds:schemaRefs>
</ds:datastoreItem>
</file>

<file path=customXml/itemProps3.xml><?xml version="1.0" encoding="utf-8"?>
<ds:datastoreItem xmlns:ds="http://schemas.openxmlformats.org/officeDocument/2006/customXml" ds:itemID="{872C903E-5AF7-45D7-A70C-5E0FD779C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f34f7-2b6a-4878-a636-586f8901c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83220F-F24E-460E-82EB-A364850BC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aalabaster</dc:creator>
  <cp:lastModifiedBy>Newton, Tara</cp:lastModifiedBy>
  <cp:revision>2</cp:revision>
  <cp:lastPrinted>2012-11-28T20:52:00Z</cp:lastPrinted>
  <dcterms:created xsi:type="dcterms:W3CDTF">2015-02-02T21:31:00Z</dcterms:created>
  <dcterms:modified xsi:type="dcterms:W3CDTF">2015-02-02T21:31:00Z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0x010100283F191A3F861B4E8324765AA703741B</vt:lpwstr>
  </property>
  <property fmtid="{D5CDD505-2E9C-101B-9397-08002B2CF9AE}" pid="3" name="Order">
    <vt:r8>25400</vt:r8>
  </property>
  <property fmtid="{D5CDD505-2E9C-101B-9397-08002B2CF9AE}" pid="4" name="Subteam Affilitation">
    <vt:lpwstr>2;#</vt:lpwstr>
  </property>
</Properties>
</file>